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wykładu. 
2) Praca własna studenta: 45 godz., w tym: 
a) 35 godz. przygotowanie się do zajęć;
 b) 10 godz. przygotowanie się zaliczenia przedmiotu.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ML.NW143_W1: </w:t>
      </w:r>
    </w:p>
    <w:p>
      <w:pPr/>
      <w:r>
        <w:rPr/>
        <w:t xml:space="preserve">																					Student ma elementarną wiedzę o istocie „społeczeństwa informacyjnego” oraz o wpływie rozwoju technologii na przemiany życia społecznego.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LiK2_W21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ML.NW143_U1: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LiK2_U01, LiK2_U05, LiK2_U13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ML.NW143_K1: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charakterystyki kierunkowe: </w:t>
      </w:r>
      <w:r>
        <w:rPr/>
        <w:t xml:space="preserve">LiK2_K01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ML.NW143_K2: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charakterystyki kierunkowe: </w:t>
      </w:r>
      <w:r>
        <w:rPr/>
        <w:t xml:space="preserve">LiK2_K02, LiK2_K07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2024-05-07T04:13:32+02:00</dcterms:created>
  <dcterms:modified xsi:type="dcterms:W3CDTF">2024-05-07T04:13:32+02:00</dcterms:modified>
</cp:coreProperties>
</file>

<file path=docProps/custom.xml><?xml version="1.0" encoding="utf-8"?>
<Properties xmlns="http://schemas.openxmlformats.org/officeDocument/2006/custom-properties" xmlns:vt="http://schemas.openxmlformats.org/officeDocument/2006/docPropsVTypes"/>
</file>