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 rakiet</w:t>
      </w:r>
    </w:p>
    <w:p>
      <w:pPr>
        <w:keepNext w:val="1"/>
        <w:spacing w:after="10"/>
      </w:pPr>
      <w:r>
        <w:rPr>
          <w:b/>
          <w:bCs/>
        </w:rPr>
        <w:t xml:space="preserve">Koordynator przedmiotu: </w:t>
      </w:r>
    </w:p>
    <w:p>
      <w:pPr>
        <w:spacing w:before="20" w:after="190"/>
      </w:pPr>
      <w:r>
        <w:rPr/>
        <w:t xml:space="preserve">dr inż. Paweł Oleszczak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u prowadzącego -  5 godz. 
2. Praca własna - 65 godzin, w tym:
a) przygotowanie do kolokwium 1 - 20 godz.,
b) przygotowanie do kolokwium 2 - 20 godz.,
c) praca domowa - 25 godz.,
Łącznie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u prowadzącego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wyznaczenia trajektorii lotu na orbitę, wyznaczenie parametrów uzyskanej orbity. Wyznaczanie parametrów spotkań orbitalnych i deorbitacji satelity. Umiejętność określenia miejsca i czasu startu oraz wpływu pogody na lot na orbitę.</w:t>
      </w:r>
    </w:p>
    <w:p>
      <w:pPr>
        <w:keepNext w:val="1"/>
        <w:spacing w:after="10"/>
      </w:pPr>
      <w:r>
        <w:rPr>
          <w:b/>
          <w:bCs/>
        </w:rPr>
        <w:t xml:space="preserve">Treści kształcenia: </w:t>
      </w:r>
    </w:p>
    <w:p>
      <w:pPr>
        <w:spacing w:before="20" w:after="190"/>
      </w:pPr>
      <w:r>
        <w:rPr/>
        <w:t xml:space="preserve">Modelowanie ruchu rakiety jako punktu materialnego i bryły sztywnej, lot balistyczny rakiety, problem sterowania rakietą, wejście na orbitę, spotkania orbitalne, problem deorbitacji, maksymalne ciśnienie dynamiczne, drgania rakiety, wpływ warunków atmosferycznych na lot, wybór miejsca startu.</w:t>
      </w:r>
    </w:p>
    <w:p>
      <w:pPr>
        <w:keepNext w:val="1"/>
        <w:spacing w:after="10"/>
      </w:pPr>
      <w:r>
        <w:rPr>
          <w:b/>
          <w:bCs/>
        </w:rPr>
        <w:t xml:space="preserve">Metody oceny: </w:t>
      </w:r>
    </w:p>
    <w:p>
      <w:pPr>
        <w:spacing w:before="20" w:after="190"/>
      </w:pPr>
      <w:r>
        <w:rPr/>
        <w:t xml:space="preserve">Sprawdziany w formie dwóch kolokwiów oraz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Charles D. Brown “Dynamics fo Spacecraft Design”, AIAA 2002. 
2. Vladimir A. Chobotov “Orbital Mechanics” Third Edition, AIAA 2002.
3. Peter H. Zipfel “Modelling and Simulation of Aerospace Vehicle Dynamics”, AIAA 2000.
4. Bong Wie “Space Vehicle Dynamics and Control”, AIAA 1998.
Dodatkowa literatura: materiały dostarczone przez wykładowcę.
</w:t>
      </w:r>
    </w:p>
    <w:p>
      <w:pPr>
        <w:keepNext w:val="1"/>
        <w:spacing w:after="10"/>
      </w:pPr>
      <w:r>
        <w:rPr>
          <w:b/>
          <w:bCs/>
        </w:rPr>
        <w:t xml:space="preserve">Witryna www przedmiotu: </w:t>
      </w:r>
    </w:p>
    <w:p>
      <w:pPr>
        <w:spacing w:before="20" w:after="190"/>
      </w:pPr>
      <w:r>
        <w:rPr/>
        <w:t xml:space="preserve">http://www.itc.pw.edu.pl/Pracownicy/Naukowo-dydaktyczni/Oleszczak-Pawel/Dynamika-Lotu-Rakiet</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ML.NS649_W1: </w:t>
      </w:r>
    </w:p>
    <w:p>
      <w:pPr/>
      <w:r>
        <w:rPr/>
        <w:t xml:space="preserve">							Student posiada wiedzę na temat układów współrzędnych stosowanych w modelowaniu dynamiki lotu rakiet.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ML.NS649_W2: </w:t>
      </w:r>
    </w:p>
    <w:p>
      <w:pPr/>
      <w:r>
        <w:rPr/>
        <w:t xml:space="preserve">							Student ma wiedzę o przebiegach misji różnego typu rakiet nośnych.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LiK2_W01, LiK2_W05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LiK2_U09, LiK2_U11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LiK2_U01, LiK2_U08, LiK2_U16</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LiK2_U01, 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LiK2_U09, 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LiK2_U08, LiK2_U16, LiK2_U18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2024-05-03T17:29:28+02:00</dcterms:created>
  <dcterms:modified xsi:type="dcterms:W3CDTF">2024-05-03T17:29:28+02:00</dcterms:modified>
</cp:coreProperties>
</file>

<file path=docProps/custom.xml><?xml version="1.0" encoding="utf-8"?>
<Properties xmlns="http://schemas.openxmlformats.org/officeDocument/2006/custom-properties" xmlns:vt="http://schemas.openxmlformats.org/officeDocument/2006/docPropsVTypes"/>
</file>