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15, udział w wykładach.
2) Praca własna – 15 godzin, w tym: rozwiązywanie zadań, przygotowywanie się do kolokwium zaliczeniowego.
Razem - 30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godzin udziału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zdefiniować oraz określić podstawowe parametry pracy oraz osiągi układów hybrydowych stosowanych lub przewidzianych do zastosowania w przyszłości w energetyce i nie tylko. Student posiądzie ogólną wiedzę z zakresu układów hybrydowych stosowanych obecnie w energetyce oraz przewidzianych jako perspektywiczne.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stosowania układów hybrydowych w małej i średniej energetyce. Układy gazowo-parowe. Układy z magazynowaniem energii elektrycznej. Układy hybrydowe w energetyce jądrowej. Układy pompy ciepła - kocioł gazowy lub olejowy, układy ogniwa paliwowe - system energetyczny z kotłem gazowym lub olejowym. Układy siłowni wiatrowych z fotoogniwami. Mała energetyka oraz układ fotowoltaiczne. Ocena przydatności systemów hybrydowych, perspektywy i koszty ich zastosowania.
Zajęcia zostały przygotowane i będą prowadzone z wykorzystaniem metody design thinking.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i czynne uczestnictwo na zajęciach. 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ML.NS581_W3: </w:t>
      </w:r>
    </w:p>
    <w:p>
      <w:pPr/>
      <w:r>
        <w:rPr/>
        <w:t xml:space="preserve">Zna kierunki rozwoju nowych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2026-09-13T05:48:49+02:00</dcterms:created>
  <dcterms:modified xsi:type="dcterms:W3CDTF">2026-09-13T05:48:49+02:00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