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 magisterska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Dowolny nauczyciel akademicki upoważniony przez Radę Wydziału.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ML.NK491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90, &lt;br&gt;
2) Praca własna studenta – 90 godz. &lt;br&gt;
Razem – 180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umiejętności wykonywania zaawansowanego projektu, przede wszystkim dzięki pracy własnej, z niewielką pomocą prowadzącego. W szczególności rozwiązania postawionego problemu, doboru literatury, metod badawczych, przedstawienia i krytycznej analizy wyników.  &lt;br&gt;
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Ocenie podlega odpowiednie wyodrębnienie zadania, analiza literatury, rozwiązanie zadania i jego pisemne przedstawienie.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Tematykę pracy przejściowej ustala student w porozumieniu ze swoim opiekunem indywidualnym. &lt;br&gt;
Tematyka musi być zgodna z kierunkiem i specjalnością studiów wybranymi przez studenta.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ML.NK491_W1: </w:t>
      </w:r>
    </w:p>
    <w:p>
      <w:pPr/>
      <w:r>
        <w:rPr/>
        <w:t xml:space="preserve">Posiada poszerzoną wiedzę na wybrany temat w ramach kierunku.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ML.NK491_U1: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ML.NK491_U3: </w:t>
      </w:r>
    </w:p>
    <w:p>
      <w:pPr/>
      <w:r>
        <w:rPr/>
        <w:t xml:space="preserve">Potrafi rozwiązać proste zadanie z zakresu automatyki i robotyki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ML.NK491_U3: </w:t>
      </w:r>
    </w:p>
    <w:p>
      <w:pPr/>
      <w:r>
        <w:rPr/>
        <w:t xml:space="preserve">Potrafi rozwiązać proste zadanie z zakresu automatyki i robotyki korzystając z pomocy opiekuna.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ML.NK491_U4: </w:t>
      </w:r>
    </w:p>
    <w:p>
      <w:pPr/>
      <w:r>
        <w:rPr/>
        <w:t xml:space="preserve">Potrafi samodzielnie przygotować sprawozdanie z pracy oraz w rozmowie z prowadzącym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końcowe oceniane przez prowadzącego.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ML.NK491_K1: </w:t>
      </w:r>
    </w:p>
    <w:p>
      <w:pPr/>
      <w:r>
        <w:rPr/>
        <w:t xml:space="preserve">Potrafi myśleć w sposób kreatywny samodzielnie proponując sposób rozwiązania postawionego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ocena postępu pracy.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AiR2_K01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2026-09-12T11:56:10+02:00</dcterms:created>
  <dcterms:modified xsi:type="dcterms:W3CDTF">2026-09-12T11:56:10+02:00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