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70 , w tym:
a) wykłady - 30 godz.,
b) ćwiczenia - 30 godz.,
c) konsultacje - 10 godz.
2. Praca własna studenta – 55 godzin, w tym:
a) 10 godz. - przygotowywanie się studenta do ćwiczeń,
b) 15 godz - zadania domowe (wykonanie projektu),
c) 15 godz - przygotowanie się do kolokwiów,
d) 15 godz. – przygotowanie się do egzaminu.
Razem - 125 godz. = 5 punktów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 liczba godzin kontaktowych: 70, w tym:
a) wykłady - 30 godz.,
b) ćwiczenia – 30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3-5 kolokwiów, aktywność pracy studenta w trakcie ćwiczeń. Na zakończenie semestru egzamin.  Zaliczenie ćwiczeń wpływa na ocenę po egzaminie. Studenci posiadający bardzo dobre wyniki w semestrze mogą być zwolnieni z części zadaniowej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J.Leyko: Mechanika ogólna. PWN 1978.
2. J.Leyko, J.Szmelter (red.): Zbiór zadań z mechaniki ogólnej, t I i II. PWN, Warszawa, 1983. 
3. I.W.Mieszczerski: Zbiór zadań z mechaniki. PWN, Warszaw, 1969. 
4. R.Romicki: Rozwiązania zadań z mechaniki zbioru I.W.Mieszczerskiego. PWN, Warszawa, 1971.
5. F.P. Beer, E.R. Johnston. Vector mechanics for engineers. McGraw-Hill, 1977.
 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ML.NW115_W1: </w:t>
      </w:r>
    </w:p>
    <w:p>
      <w:pPr/>
      <w:r>
        <w:rPr/>
        <w:t xml:space="preserve">														Student wie jak rozwiązywać proste problemy z zakresu mechaniki niutonowskiej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ML.NW115_W2: </w:t>
      </w:r>
    </w:p>
    <w:p>
      <w:pPr/>
      <w:r>
        <w:rPr/>
        <w:t xml:space="preserve">																															Student wie jak wykorzystać rachunek różniczkowy i całkowy w zagadnieniach kinematyki i dynamiki.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ML.NW115_W3: </w:t>
      </w:r>
    </w:p>
    <w:p>
      <w:pPr/>
      <w:r>
        <w:rPr/>
        <w:t xml:space="preserve">																																							Student zna zakres stosowalności kinematyki i dynamiki niutonowskiej. Zna paradygmat tej dyscypliny.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ML.NW115_U1: </w:t>
      </w:r>
    </w:p>
    <w:p>
      <w:pPr/>
      <w:r>
        <w:rPr/>
        <w:t xml:space="preserve">														Student umie rozwiązywać proste problemy z zakresu kinematyki i dynamiki.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ML.NW115_U2: </w:t>
      </w:r>
    </w:p>
    <w:p>
      <w:pPr/>
      <w:r>
        <w:rPr/>
        <w:t xml:space="preserve">																									Student umie wykorzystać podstawy rachunku różniczkowego i całkowego w kinematyce i dynamice.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aktywność pracy studenta w trakcie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ML.NW115_U3: </w:t>
      </w:r>
    </w:p>
    <w:p>
      <w:pPr/>
      <w:r>
        <w:rPr/>
        <w:t xml:space="preserve">																									Student umie określić obszar zagadnień, gdzie można skutecznie stosować narzędzia mechaniki niutonowskiej.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ML.NW115_K1: </w:t>
      </w:r>
    </w:p>
    <w:p>
      <w:pPr/>
      <w:r>
        <w:rPr/>
        <w:t xml:space="preserve">														Student umie komunikować się w zakresie dotyczącym kinematyki i dynamiki	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2026-07-08T04:10:19+02:00</dcterms:created>
  <dcterms:modified xsi:type="dcterms:W3CDTF">2026-07-08T04:10:19+02:00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