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- 31, w tym:
a) wykłady -15 godz.,
b)  ćwiczenia - 15 godz.,
c) konsultacje - 1 godz.
2. Praca własna studenta - 55 godzin, w tym:
a) powtórzenie materiału z wykładów - 10 godz.,
b) przygotowanie do ćwiczeń - 15 godz.,
c) przygotowanie do kolokwiów - 10 godz.,
d)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- 31, w tym:
a) wykłady -15 godz.,
b) 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przygotowanie do ćwiczeń - 15 godz.,
b) przygotowanie do kolokwiów - 10 godz.,
c)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"Zespoły Napędowe".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 dwuprzepływowego. Teoria silnika turbośmigłowego i śmigłowcowego. Komputerowe metody obliczeń obiegów termodynamicznych silników. Metody wyznaczania charakterystyk silników. Podstawowe systemy silników turbinowych.Tendencje rozwojowe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i ocena pracy domowej własnej , w której studenci wykonują obliczenia różnych typów silników turbinowych i wyznaczają ich charakterystyki.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Dodatkowa literatura:
1. Materiały na stronie http://materialy.itc.pw.edu.pl/zsl/Lotnicze%20Silniki%20Turbinowe/ (do pobrania po zalogowoniu).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ML.NS607_W4: </w:t>
      </w:r>
    </w:p>
    <w:p>
      <w:pPr/>
      <w:r>
        <w:rPr/>
        <w:t xml:space="preserve">							Student zna tendencje rozwojowe lotniczych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2026-05-26T07:24:28+02:00</dcterms:created>
  <dcterms:modified xsi:type="dcterms:W3CDTF">2026-05-26T07:24:28+02:00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