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1050-FTFME-MSP-4WZF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uczestniczenie w konsultacjach – 10 h
2. praca własna studenta – 35 h; w tym
	a) przygotowanie do kolokwiów – 25 h
	b) zapoznanie się z literaturą – 10 h
	c) przygotowanie do egzaminu – 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konsultacjach – 10 h
Razem w semestrze 40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prowadzone są w postaci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Elektrofizjologia, Nieliniowa analiza sygnałów,  Tomografia Komputerowa, Dozymetria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wybrane zagadnienia współczesnej fizyki medycznej z naciskiem na nowe i przyszłościowe metody diagnostyki i terapii. Realizowany przez zaproszonych specjalistów.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3 równe części prowadzone przez uznanych specjalistów. Części te obejmują następujące obszary Fizyki Medycznej: fizykę centralnego układu nerwowego i układów neuronów, fizykę ośrodków aktywnych na przykładzie elektrofizjologii komór serca, radiodiagnostykę i radioterapię oraz zagadnienia tomografii komputerowej i rezonansu magnetycznego. Każdego roku 3 z tych czterech obszarów są realizowane w postaci 3 bloków wykładowych po 10 godzin. W wyborze wykładowców istotną rolę odgrywa ich doświadczenie i znajomość realiów klinicznych.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każdym bloku 10-godzinnym następuje kolokwium pisemne. Ocena końcowa jest średnią z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wykładowców udostępnia własny spis literatury oraz materiały do wykładu – zgodnie z tematyką realizowanego przez siebie bloku tematycznego.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WZFM_W01: </w:t>
      </w:r>
    </w:p>
    <w:p>
      <w:pPr/>
      <w:r>
        <w:rPr/>
        <w:t xml:space="preserve">Ma wiedzę o tendencjach rozwojowych i najistotniejszych osiągnięciach z zakresu studiowanej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WZFM_U01: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WZFM_U02: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WZFM_U03: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WZFM_K01: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WZFM_K02: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2024-05-01T22:03:39+02:00</dcterms:created>
  <dcterms:modified xsi:type="dcterms:W3CDTF">2024-05-01T22:03:39+02:00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