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Ma podbudowaną teoretycznie wiedzą na temat fizycznych podstaw działania ogniw słonecznych oraz czynników wpływających na ich wydajność.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FOT_W02: </w:t>
      </w:r>
    </w:p>
    <w:p>
      <w:pPr/>
      <w:r>
        <w:rPr/>
        <w:t xml:space="preserve">Ma wiedzę na temat różnych rozwiązań technologicznych w fotowoltaice oraz problemów i wyzwań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Potrafi określić parametry fotowoltaiczne ogniwa słonecznego i wskazać jego słabe i dobre strony.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Umie wyciągać wnioski z wyników prostych symulacji działania ogniwa słonecznego w zależności od jego parametrów i warunków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FOT_U03: </w:t>
      </w:r>
    </w:p>
    <w:p>
      <w:pPr/>
      <w:r>
        <w:rPr/>
        <w:t xml:space="preserve">Potrafi przedstawić wyniki eksperymentu w postaci raportu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FOT_U04: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współpracować w grupie przy planowaniu i wykonywaniu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Ma świadomość wagi problemu odnawialnych źródeł energii dla rozwiązania energetycznych potrzeb ludzkości.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2026-10-01T16:57:07+02:00</dcterms:created>
  <dcterms:modified xsi:type="dcterms:W3CDTF">2026-10-01T16:57:07+02:00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