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Ma podbudowaną teoretycznie wiedzą na temat fizycznych podstaw działania ogniw słonecznych oraz czynników wpływających na ich wydajność.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FOT_W02: </w:t>
      </w:r>
    </w:p>
    <w:p>
      <w:pPr/>
      <w:r>
        <w:rPr/>
        <w:t xml:space="preserve">Ma wiedzę na temat różnych rozwiązań technologicznych w fotowoltaice oraz problemów i wyzwań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Potrafi określić parametry fotowoltaiczne ogniwa słonecznego i wskazać jego słabe i dobre strony.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Umie wyciągać wnioski z wyników prostych symulacji działania ogniwa słonecznego w zależności od jego parametrów i warunków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FOT_U03: </w:t>
      </w:r>
    </w:p>
    <w:p>
      <w:pPr/>
      <w:r>
        <w:rPr/>
        <w:t xml:space="preserve">Potrafi przedstawić wyniki eksperymentu w postaci raportu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FOT_U04: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współpracować w grupie przy planowaniu i wykonywaniu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Ma świadomość wagi problemu odnawialnych źródeł energii dla rozwiązania energetycznych potrzeb ludzkości.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2026-02-27T10:14:19+01:00</dcterms:created>
  <dcterms:modified xsi:type="dcterms:W3CDTF">2026-02-27T10:14:19+01:00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