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LF3_W01: </w:t>
      </w:r>
    </w:p>
    <w:p>
      <w:pPr/>
      <w:r>
        <w:rPr/>
        <w:t xml:space="preserve">Ma uporządkowaną wiedzę w zakresie zastosowania sprzętu pomiarowego, oceny dokładności, podstawowych zasad opracowania wyników i zastosowania oprogramowania, oraz odniesienia wyników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zaliczenie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FOT_W06, FOT_W07, FOT_W08, 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T1A_W01, T1A_W03, T1A_W07, X1A_W01, T1A_W03, T1A_W04, X1A_W01, T1A_W04, T1A_W07, 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LF3_U01: </w:t>
      </w:r>
    </w:p>
    <w:p>
      <w:pPr/>
      <w:r>
        <w:rPr/>
        <w:t xml:space="preserve">Potrafi zbudować prosty układ pomiarowy realizujący określone zadanie, przewidzieć jego działanie i opracować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w czasie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T1A_U09, T1A_U15,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LF3_K01: </w:t>
      </w:r>
    </w:p>
    <w:p>
      <w:pPr/>
      <w:r>
        <w:rPr/>
        <w:t xml:space="preserve">Potrafi współpracować w zespole, zarówno jako bezpośredni wykonawca, jak i referent (kierownik pracy)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współpracy przy jego realizacji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FOT_K03, 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InzA_K01, 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2026-07-08T08:42:02+02:00</dcterms:created>
  <dcterms:modified xsi:type="dcterms:W3CDTF">2026-07-08T08:42:02+02:00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