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dr hab. Jerzy Jasiński, adiunkt, jerzy.jasinski@pw.edu.pl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1050-FT000-ISP-6FLA</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37 h; w tym
	a) obecność na wykładach – 30 h
	b) obecność na egzaminie – 2 h
	c) uczestniczenie w konsultacjach – 5 h
2. praca własna studenta – 40 h; w tym
	a) przygotowanie do kolokwiów – 10 h
	b) zapoznanie się z literaturą – 10 h
	c) przygotowanie do egzaminu – 15 h
	d) rozwiązywanie zadań domowych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5 h
Razem w semestrze 37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i zrozumienie podstaw opisu propagacji wiązki laserowej w wolnej przestrzeni, jej formowania przez elementy optyczne, w tym rezonator lasera a także z przebiegiem i opisem zjawisk zachodzących podczas oddziaływania światła z atomami w ośrodku laserującym.</w:t>
      </w:r>
    </w:p>
    <w:p>
      <w:pPr>
        <w:keepNext w:val="1"/>
        <w:spacing w:after="10"/>
      </w:pPr>
      <w:r>
        <w:rPr>
          <w:b/>
          <w:bCs/>
        </w:rPr>
        <w:t xml:space="preserve">Treści kształcenia: </w:t>
      </w:r>
    </w:p>
    <w:p>
      <w:pPr>
        <w:spacing w:before="20" w:after="190"/>
      </w:pPr>
      <w:r>
        <w:rPr/>
        <w:t xml:space="preserve">Wykład:
1.	Wiązki gaussowskie w opisie światła. Przybliżenie skalarne i przyosiowe. Krzywizna frontu falowego i rozbieżność dyfrakcyjna wiązek. Paczki falowe.
2.	Teoria rezonatorów optycznych. Macierze (ABCD). Warunki stabilności promieni w rezonatorze. Typy rezonatorów. Dopasowanie parametrów wiązki i rezonatora. Wiązka jako pęk promieni.
3.	Modowa struktura światła w rezonatorze. Mody poprzeczne i podłużne. Poprzeczna struktura pola w rezonatorze. Degeneracja modów.
4.	Straty energii w rezonatorach. Zjawiska powodujące straty energii. Straty użyteczne. Rozchodzenie się światła w obecności pochłaniania i wzmocnienia.
5.	Struktura spektralna linii widmowych. Funkcje kształtu linii widmowych dla poszerzenia jednorodnego i niejednorodnego. Wpływ pompowania optycznego, inwersji obsadzeń, pochłaniania i zjawisk nasycenia na linie.
6.	Równania bilansu. Absorpcja światła, emisja spontaniczna i wymuszona. Pompowanie optyczne i inwersja obsadzeń. Bilans atomów i fotonów. Szybkości przejść w układach dwu-, trój- i czteropoziomowym. 
7.	 Lasery. Lasery pracy ciągłej i lasery impulsowe. Warunki pracy stacjonarnej. Moc lasera. Rola czwartego poziomu i próg akcji laserowej. Stany nieustalone. Laser rubinowy i laser Nd:YAG. Laser gazowy He-Ne. 
</w:t>
      </w:r>
    </w:p>
    <w:p>
      <w:pPr>
        <w:keepNext w:val="1"/>
        <w:spacing w:after="10"/>
      </w:pPr>
      <w:r>
        <w:rPr>
          <w:b/>
          <w:bCs/>
        </w:rPr>
        <w:t xml:space="preserve">Metody oceny: </w:t>
      </w:r>
    </w:p>
    <w:p>
      <w:pPr>
        <w:spacing w:before="20" w:after="190"/>
      </w:pPr>
      <w:r>
        <w:rPr/>
        <w:t xml:space="preserve">Zadania domowe:	 6 punkty	Ocena przedmiotu:
Kolokwium:	12 punktów	3     – od 18 punktów
Egzamin pisemny:	18 punktów	3.5  – od 21 punktów
	__________	4     – od 24 punktów Suma:	36 punktów	4.5  – od 37 punktów
	5     – od 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2026-03-22T09:56:39+01:00</dcterms:created>
  <dcterms:modified xsi:type="dcterms:W3CDTF">2026-03-22T09:56:39+01:00</dcterms:modified>
</cp:coreProperties>
</file>

<file path=docProps/custom.xml><?xml version="1.0" encoding="utf-8"?>
<Properties xmlns="http://schemas.openxmlformats.org/officeDocument/2006/custom-properties" xmlns:vt="http://schemas.openxmlformats.org/officeDocument/2006/docPropsVTypes"/>
</file>