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wspólny dla kierunku (IN1A_63)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IN1A_63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obieralnego wspólnego dla kierunku (IN1A_63), oferowane są do wyboru:
- Komputerowe wspomaganie projektowania w ogrzewnictwie i wentylacji (IN1A_63/01);
- Komputerowe wspomaganie projektowania w wodociągach i kanalizacji (IN1A_63/02).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podstawową wiedzę o trendach rozwojowych w zakresie stosowania narzędzi wspomagających projektowanie systemów ogrzewczo-wentylacyjnych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U05_02: </w:t>
      </w:r>
    </w:p>
    <w:p>
      <w:pPr/>
      <w:r>
        <w:rPr/>
        <w:t xml:space="preserve">Potrafi samodzielnie uczyć się obsługi oprogramowania komputerowego wspomagającego projektowanie systemów ogrzewczych i wentylacyjnych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zestawić i formatować dane oraz wyniki obliczeń uzyskane z oprogramowania komputerowego i wykorzystywać je do tworzenia dokumentacji rysunkowej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U16_03: </w:t>
      </w:r>
    </w:p>
    <w:p>
      <w:pPr/>
      <w:r>
        <w:rPr/>
        <w:t xml:space="preserve">Potrafi zaprojektować, zgodnie z założeniami, instalację ogrzewczo-wentylacyjną, używając oprogramowania komputerowego wspomagającego projektowanie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I1A_U16_03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się. Rozumie potrzebę poznawania nowych osiągnięć techniki w zakresie komputerowego wspomagania projektowania instalacji ogrzewczych i wentylacyjnych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2024-04-19T01:38:16+02:00</dcterms:created>
  <dcterms:modified xsi:type="dcterms:W3CDTF">2024-04-19T01:38:16+02:00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