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- 5, przygotowanie do zaliczenia - 5, opracowanie pracy projektowej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- 5 h, przygotowanie do zaliczenia - 5 h, opracowanie pracy projektowej - 20 h, razem - 50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(zestawienie pracochłonności robót związanych z wykonieniem zewnętrznej sieci sanitarnej układanej w systemie podziemnym, projekt organizacji w opraciu o metodę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wykonaniu, złożeniu i pozytywnej obronie prac projektowych, dotyczących zagadnień programowych (opracowanych w zakresie założeń wskazanych przez prowadzącego przedmiot).  
Uwaga: przy ustalaniu ocen zaliczeń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Bortniczuk W., Tomaszewski B.: Podstawy normowania technicznego i kosztorysowania w budownictwie w warunkach gospodarki rynkowej, Wydawnictwo Politechniki Łodzkiej, Łódź 1994,                                                                                                                                         2. Grzyl B.: Kosztorysowanie robót budowlanych, Verlag Dashofer, Warszawa 2011 r,
3. Kacprzyk B.: Kosztorysowanie obiektów i robót budowlanych. Poradnik, POLCEN Spółka z o.o., Warszawa 2010 r.,                                          
4. Kowalczyk Z., Loska F., Czarkowski M.: Kosztorysowanie w budownictwie, Wydawnictwa Szkolne i Pedagogiczne, Warszawa 1995 r.,                                           
5. Rajczyk M.: Kosztorysowanie robót  budowlanych, Wydawnictwo Politechniki Częstochowskiej, Częstochowa 2009,                                                                                                                                                                                                                                        6.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 (w tym programów komputerowych udostepnionych do celów dydaktycznych), czasopism branżowych, stron producentów w odniesieniu do potrzeb procesu wykonawstwa i kosztorysowania szeroko pojętych robót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w zakresie programów komputerowych: do oceny i analizy kosztów inwestycji oraz do planowania organizacji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konsultacyjne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kosztorysów, projektów organizacji robót i opracowania ogólnego dokumentacji w celu szybkiej konsultacji między uczestnikami procesu inwestycyjnego.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śledzenia cen rynkowych, mających wpływ na kształtowanie się kosztów poszczególnych nakładów. Potrafi ocenić wpływ podejmowanych decyzji na koszty projektowanych lub realizowanych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wykonać wstępną analizę kosztów robót sanitarnych oraz robót im towarzyszącym.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U12_02: </w:t>
      </w:r>
    </w:p>
    <w:p>
      <w:pPr/>
      <w:r>
        <w:rPr/>
        <w:t xml:space="preserve">Potrafi szczegółowo oszacować koszty poszczególnych elementów przedsięwzięcia, a tym samym całkowitą wartość przedsięwzięcia, a także na podstawie powyższego wykonać analizę kosztów robót sanitarnych oraz robót im towarzyszących.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poprzez pogłębianie wiedzy o nowych materiałach, produktach i technologiach w zakresie budownictwa sanitarnego.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2024-04-25T03:51:06+02:00</dcterms:created>
  <dcterms:modified xsi:type="dcterms:W3CDTF">2024-04-25T03:51:06+02:00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