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płaszczyznowe (IN1A_33/01)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Krajewska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ze wskazaną literaturą - 10, przygotowanie do kolokwium - 20, razem - 50;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wiedzy i umiejętności dotyczącej projektowania ogrzewania podłogowego i promieniowego w oparciu o nowe materiały i technologie.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wymiany ciepła przez promieniowanie.                                                                  
W2 - Komfort cieplny człowieka. Ograniczenia dla ogrzewań podłogowych. Ograniczenia dla ogrzewań sufitowych i ściennych. Zdrowotne aspekty ogrzewań podłogowych.                                                                                 
 W3 - Klasyfikacja i charakterystyka typów ogrzewań płaszczyznowych.                                                              
W4 - Układy hydrauliczne i regulacja wydajności wodnych ogrzewań płaszczyznowych.                                           
W5 - Łączenie ogrzewania płaszczyznowego i grzejnikowego w jednym systemie.                                   
W6 - Wykorzystanie instalacji ogrzewania płaszczyznowego do chłodzenia pomieszczeń.                                               
W7 - Wodne ogrzewanie podłogowe wylewane na mokro - budowa, sposoby mocowania przewodów, prowadzenie przewodów, rozkład temperatury na powierzchni podłogi, zasady projektowania, obliczenia cieplne, obliczenia hydrauliczne.                                                                  
W8 - Wspomaganie projektowania z wykorzystaniem programów komputerowych.                                                 
W9 - Aktualnie dostępne wodne ogrzewania podłogowe.                          
W10 - Ogrzewanie promieniowe: wodne promienniki taśmowe, gazowe promienniki podczerwieni, elektryczne promienniki podczerwieni.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Jeżeli w trakcie procedury zaliczania prowadzący stwierdzi niesamodzielność pracy studenta – student otrzymuje ocenę niedostateczną z tego zaliczenia. Przy zaliczeniu poszczególnych prac stosowana będzie następująca skala ocen przyporządkowana określonej procentowo, przyswojonej wiedzy:
5,0 – 91%-100%
4,5 – 81%- 90%
4,0 – 71%-80%
3,5 – 61%-70%
3,0 – 51%-60%
2,0 – 0%-50%.
Studenci, którzy nie zaliczyli przedmiotu i uzyskali rejestrację na kolejny semestr, powinni zgłosić się do prowadzącego zajęcia na początku VII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Posiada uporządkowaną wiedzę ogólną związaną z zagadnieniami wymiany ciepła przez promieniowanie, komfortu cieplnego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Ma szczegółową wiedzę związaną z zagadnieniami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W10);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ogrzewaniach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W10);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projektowaniu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(W1-W10); Zadanie projektowe (P1-P4)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w zakresie projektowania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(W1-W10); Zadanie projektowe (P1-P4)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 płaszczyznowego..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W10);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decyzje. Rozumie wpływ działalności inżynierskiej na zdrowie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