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kolokwiów 15h;
Przygotowanie do egzaminu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w:t>
      </w:r>
    </w:p>
    <w:p>
      <w:pPr>
        <w:keepNext w:val="1"/>
        <w:spacing w:after="10"/>
      </w:pPr>
      <w:r>
        <w:rPr>
          <w:b/>
          <w:bCs/>
        </w:rPr>
        <w:t xml:space="preserve">Metody oceny: </w:t>
      </w:r>
    </w:p>
    <w:p>
      <w:pPr>
        <w:spacing w:before="20" w:after="190"/>
      </w:pPr>
      <w:r>
        <w:rPr/>
        <w:t xml:space="preserve">Zaliczenie przedmiotu  – ocena z egzaminu
Egzamin (z zagadnień przedstawionych w Repetytorium przedmiotowym) pisemny i ustny po pozytywnym zaliczeniu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2024-05-02T21:23:18+02:00</dcterms:created>
  <dcterms:modified xsi:type="dcterms:W3CDTF">2024-05-02T21:23:18+02:00</dcterms:modified>
</cp:coreProperties>
</file>

<file path=docProps/custom.xml><?xml version="1.0" encoding="utf-8"?>
<Properties xmlns="http://schemas.openxmlformats.org/officeDocument/2006/custom-properties" xmlns:vt="http://schemas.openxmlformats.org/officeDocument/2006/docPropsVTypes"/>
</file>