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egzaminu - 25, razem - 50;
Ćwiczenia: liczba godzin według planu studiów - 15, zapoznanie ze wskazaną literaturą - 5, przygotowanie do kolokwium - 5, razem - 25; 
Łącznie - 75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15 - 30 studentów</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lokalizacji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C1 - Obliczenia hydrauliczne sieci przewodów instalacji nawiewnej; 
C2 - Obliczenia hydrauliczne sieci przewodów instalacji wywiewnej;
C3 - Graficzne odwzorowanie instalacji wentylacyjnych.</w:t>
      </w:r>
    </w:p>
    <w:p>
      <w:pPr>
        <w:keepNext w:val="1"/>
        <w:spacing w:after="10"/>
      </w:pPr>
      <w:r>
        <w:rPr>
          <w:b/>
          <w:bCs/>
        </w:rPr>
        <w:t xml:space="preserve">Metody oceny: </w:t>
      </w:r>
    </w:p>
    <w:p>
      <w:pPr>
        <w:spacing w:before="20" w:after="190"/>
      </w:pPr>
      <w:r>
        <w:rPr/>
        <w:t xml:space="preserve">Planowane są dwa terminy egzaminu w sesji letniej i jeden w sesji jesiennej. W przypadku nie zaliczenia egzaminu, student ma prawo przystąpienia do jednego terminu poprawkowego.
Zaliczenie ćwiczeń audytoryjnych odbędzie się na podstawie kolokwium przeprowadzonego na przedostatnich zajęciach w semestrze. Ocena łączna z przedmiotu to średnia ważona, wagi: 0,75 oceny z wykładu i 0,25 z ćwiczeń audytoryjnych. Warunkiem uzyskania pozytywnej oceny końcowej z przedmiotu jest uzyskanie pozytywnych ocen z wykładu i ćwiczeń audytoryjnych.
Przy ustalaniu ocen z kolokwium oraz egzaminu stosowana będzie następująca skala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kolokwium (C1-C3)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Egzamin, kolokwium (C1-C3)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2024-04-30T20:26:35+02:00</dcterms:created>
  <dcterms:modified xsi:type="dcterms:W3CDTF">2024-04-30T20:26:35+02:00</dcterms:modified>
</cp:coreProperties>
</file>

<file path=docProps/custom.xml><?xml version="1.0" encoding="utf-8"?>
<Properties xmlns="http://schemas.openxmlformats.org/officeDocument/2006/custom-properties" xmlns:vt="http://schemas.openxmlformats.org/officeDocument/2006/docPropsVTypes"/>
</file>