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charakterystyki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w:t>
      </w:r>
    </w:p>
    <w:p>
      <w:pPr>
        <w:keepNext w:val="1"/>
        <w:spacing w:after="10"/>
      </w:pPr>
      <w:r>
        <w:rPr>
          <w:b/>
          <w:bCs/>
        </w:rPr>
        <w:t xml:space="preserve">Metody oceny: </w:t>
      </w:r>
    </w:p>
    <w:p>
      <w:pPr>
        <w:spacing w:before="20" w:after="190"/>
      </w:pPr>
      <w:r>
        <w:rPr/>
        <w:t xml:space="preserve">Warunkiem zaliczenia przedmiotu jest zdanie egzaminu (w terminie "zerowym", podstawowym lub poprawkowym). Egzamin odbywa się w formie pisemnej i składa się z przekrojowego zadania i części teoretycznej. Do egzaminu dopuszczeni są studenci z pozytywnymi ocenami z kolokwium I i kolokwium II (termin podstawowy lub poprawkowy) Obie części zarówno egzaminu jak i kolokwiów oceniane są punktowo w skali od 0 do 100 (niezależnie zaliczyć trzeba każdą część).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2024-04-29T17:53:11+02:00</dcterms:created>
  <dcterms:modified xsi:type="dcterms:W3CDTF">2024-04-29T17:53:11+02:00</dcterms:modified>
</cp:coreProperties>
</file>

<file path=docProps/custom.xml><?xml version="1.0" encoding="utf-8"?>
<Properties xmlns="http://schemas.openxmlformats.org/officeDocument/2006/custom-properties" xmlns:vt="http://schemas.openxmlformats.org/officeDocument/2006/docPropsVTypes"/>
</file>