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- 6
c) projektowanie - 9
d) konsultacje - 2
e) zaliczenie - 2
2) Praca własna studenta 73, w tym:
a) zapoznanie się z literaturą - 20
b) wykonanie projektu - 40
c) przygotowanie się do zaliczenia - 11
suma: 120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laboratorium - 6
c) projektowanie - 9
d) konsultacje - 2
e) zaliczanie - 2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6
b) projektowanie 9
b) wykonanie projektu - 40
suma: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reprezentacji Laplace’a, transmitancji układów liniowych, odpowiedzi dynamicznych podstawowych układów liniowych, znajomość podstaw mechaniki i dynamiki układów, 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serwo-napędu pneumatycznego i walczaka parowego. Punkt pracy modelu, charakterystyka statyczna, linearyzacja modelu, analiza dynamiki w punkcie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i zaliczenia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  310 str. K. Janiszowski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MISOM_1: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Zdaje egzamin, przygotowuje oraz broni wyniki wykonanego projektu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MISOM_2: </w:t>
      </w:r>
    </w:p>
    <w:p>
      <w:pPr/>
      <w:r>
        <w:rPr/>
        <w:t xml:space="preserve">Posiada wiedzę i zrozumienie stosowania mechnizmów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wyników opracowanego projektu zwłaszcza przy wykorzystaniu gotowych bloków dynamicznych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K_W07, 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MISOM_3: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efektywne ww mechanizmów przy badaniu współdziałania zespołów konstrukcji mechanicznych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MISOMU_1: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obrona przedstawionego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K_U07,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P7U_U, I.P7S_UK,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MISOMS_1: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Wykorzystywanie wspólne optymalnych czasowo podejść do badanego zaganienia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2026-10-03T14:05:06+02:00</dcterms:created>
  <dcterms:modified xsi:type="dcterms:W3CDTF">2026-10-03T14:05:06+02:00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