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Obliczenia chemiczne </w:t>
      </w:r>
    </w:p>
    <w:p>
      <w:pPr>
        <w:keepNext w:val="1"/>
        <w:spacing w:after="10"/>
      </w:pPr>
      <w:r>
        <w:rPr>
          <w:b/>
          <w:bCs/>
        </w:rPr>
        <w:t xml:space="preserve">Koordynator przedmiotu: </w:t>
      </w:r>
    </w:p>
    <w:p>
      <w:pPr>
        <w:spacing w:before="20" w:after="190"/>
      </w:pPr>
      <w:r>
        <w:rPr/>
        <w:t xml:space="preserve">dr inż Mariola Nowacka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CN1A_08</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- 30, przygotwoanie do zajęć - 15,  przygotowanie do kolokwium - 30, Razem - 75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do 24</w:t>
      </w:r>
    </w:p>
    <w:p>
      <w:pPr>
        <w:keepNext w:val="1"/>
        <w:spacing w:after="10"/>
      </w:pPr>
      <w:r>
        <w:rPr>
          <w:b/>
          <w:bCs/>
        </w:rPr>
        <w:t xml:space="preserve">Cel przedmiotu: </w:t>
      </w:r>
    </w:p>
    <w:p>
      <w:pPr>
        <w:spacing w:before="20" w:after="190"/>
      </w:pPr>
      <w:r>
        <w:rPr/>
        <w:t xml:space="preserve">Celem przedmiotu jest uzyskanie przez studenta wiedzy i umiejętności w zakresie podstawowych obliczeń chemicznych z zakresu chemii ogólnej i nieorganicznej.</w:t>
      </w:r>
    </w:p>
    <w:p>
      <w:pPr>
        <w:keepNext w:val="1"/>
        <w:spacing w:after="10"/>
      </w:pPr>
      <w:r>
        <w:rPr>
          <w:b/>
          <w:bCs/>
        </w:rPr>
        <w:t xml:space="preserve">Treści kształcenia: </w:t>
      </w:r>
    </w:p>
    <w:p>
      <w:pPr>
        <w:spacing w:before="20" w:after="190"/>
      </w:pPr>
      <w:r>
        <w:rPr/>
        <w:t xml:space="preserve">Stężenia roztworów - sposoby wyrażania stężeń oraz ich przeliczanie, zatężanie i rozcieńczanie roztworów, aktywność stężeniowa. Obliczenia stechiometryczne. Równowagi i reakcje w roztworach wodnych elektrolitów (dysocjacja elektrolityczna i jej ilościowy opis, iloczyn jonowy, elektrolity słabe i mocne). Obliczanie pH mocnych i słabych kwasów i zasad, kwasy wieloprotonowe. Roztwory buforowe. Hydroliza soli i jej ilościowy opis. Równowagi w roztworach nasyconych zawiązków trudnorozpuszczalnych (wpływ elektrolitów na rozpuszczalność, efekt wspólnego jonu, wpływ pH na rozpuszczalność).
</w:t>
      </w:r>
    </w:p>
    <w:p>
      <w:pPr>
        <w:keepNext w:val="1"/>
        <w:spacing w:after="10"/>
      </w:pPr>
      <w:r>
        <w:rPr>
          <w:b/>
          <w:bCs/>
        </w:rPr>
        <w:t xml:space="preserve">Metody oceny: </w:t>
      </w:r>
    </w:p>
    <w:p>
      <w:pPr>
        <w:spacing w:before="20" w:after="190"/>
      </w:pPr>
      <w:r>
        <w:rPr/>
        <w:t xml:space="preserve">Ocena średnia z dwóch kolokwiów pisemnych. Wszystkie kolokwia muszą być zaliczone.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Galus Z. [red.], Ćwiczenia rachunkowe z chemii analitycznej, PWN, Warszawa, 1972 
2. Śliwa A. [red.], Obliczenia chemiczne, PWN, Warszawa, 1976 
3. Ufnalski W. Równowagi jonowe. WNT, 2004. 
4. Ufnalski W. Obliczenia fizykochemiczne na Twoim PC. WNT, 1997.
5. Ufnalski W. Obliczenia fizykochemiczne. OW PW, 1995.
6. Ufnalski W. Podstawy obliczeń chemicznych z programami komputerowymi. WNT, 1999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z zakresu algebry i analizy matematycznej przydatną do formułowania i rozwiązywania prostych zadań inżynierskich.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W04: </w:t>
      </w:r>
    </w:p>
    <w:p>
      <w:pPr/>
      <w:r>
        <w:rPr/>
        <w:t xml:space="preserve">Ma wiedzę w zakresie chemii ogólnej</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C1A_W04</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oraz innych właściwie dobranych źródeł, wyciągać wnioski oraz formułować i uzasadniać opinie.</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U09: </w:t>
      </w:r>
    </w:p>
    <w:p>
      <w:pPr/>
      <w:r>
        <w:rPr/>
        <w:t xml:space="preserve">Potrafi przedstawiać otrzymane wyniki w formie liczbowej, dokonywać ich interpretacji i wyciągać wnioski.</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C1A_U09</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U18: </w:t>
      </w:r>
    </w:p>
    <w:p>
      <w:pPr/>
      <w:r>
        <w:rPr/>
        <w:t xml:space="preserve">Ma przygotowanie do pracy w środowisku przemysłowym w zakresie podstawowych obliczeń chemicznych.</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C1A_U18</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2026-09-12T02:30:03+02:00</dcterms:created>
  <dcterms:modified xsi:type="dcterms:W3CDTF">2026-09-12T02:30:03+02:00</dcterms:modified>
</cp:coreProperties>
</file>

<file path=docProps/custom.xml><?xml version="1.0" encoding="utf-8"?>
<Properties xmlns="http://schemas.openxmlformats.org/officeDocument/2006/custom-properties" xmlns:vt="http://schemas.openxmlformats.org/officeDocument/2006/docPropsVTypes"/>
</file>