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CN1A_08</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przygotwoanie do zajęć - 15,  przygotowanie do kolokwium - 30,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chemicznych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zawiązków trudnorozpuszczalnych (wpływ elektrolitów na rozpuszczalność, efekt wspólnego jonu, wpływ pH na rozpuszczalność).
</w:t>
      </w:r>
    </w:p>
    <w:p>
      <w:pPr>
        <w:keepNext w:val="1"/>
        <w:spacing w:after="10"/>
      </w:pPr>
      <w:r>
        <w:rPr>
          <w:b/>
          <w:bCs/>
        </w:rPr>
        <w:t xml:space="preserve">Metody oceny: </w:t>
      </w:r>
    </w:p>
    <w:p>
      <w:pPr>
        <w:spacing w:before="20" w:after="190"/>
      </w:pPr>
      <w:r>
        <w:rPr/>
        <w:t xml:space="preserve">Ocena średnia z dwóch kolokwiów pisemnych. Wszystkie kolokwia muszą być zaliczone.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2026-10-03T05:45:42+02:00</dcterms:created>
  <dcterms:modified xsi:type="dcterms:W3CDTF">2026-10-03T05:45:42+02:00</dcterms:modified>
</cp:coreProperties>
</file>

<file path=docProps/custom.xml><?xml version="1.0" encoding="utf-8"?>
<Properties xmlns="http://schemas.openxmlformats.org/officeDocument/2006/custom-properties" xmlns:vt="http://schemas.openxmlformats.org/officeDocument/2006/docPropsVTypes"/>
</file>