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
Razem 90 godzin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 wiedzę w zakresie aparatury rentgenowskiej; technik obrazowania medycznego; trendów ich rozwoju oraz w zakresie skutków oddziaływania promieniowania jonizującego na organizm i zasad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Zna i rozumie powiązania zjawisk towarzyszących oddziaływaniu promieniowania z materią z rozwiązaniami konstrukcyjnymi aparatury rentgenowskiej oraz zasadę działania detektorów promieniowania jonizującego.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RAD_U01: </w:t>
      </w:r>
    </w:p>
    <w:p>
      <w:pPr/>
      <w:r>
        <w:rPr/>
        <w:t xml:space="preserve">Potrafi zastosować podstawowe zasady ochrony radiologicznej przy pracy w pracowni stosującej promieniowanie jonizujące.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RAD_K01: </w:t>
      </w:r>
    </w:p>
    <w:p>
      <w:pPr/>
      <w:r>
        <w:rPr/>
        <w:t xml:space="preserve">Jest świadomy szczególnych uwarunkowań związanych z pracą w kontakcie z pacjentami oraz personelem medycznym i związanej z tym odpowiedzialności oraz szczególnej konieczności zachowania wysokich standardów 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2026-03-23T00:21:02+01:00</dcterms:created>
  <dcterms:modified xsi:type="dcterms:W3CDTF">2026-03-23T00:21:02+01:00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