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 ECTS
157h badania, analizy, studia literaturowe, prace projektowe związane z przygotowanie fragmentów pracy dyplomowej zgodnie z harmonogramem realizacji pracy + 18h konsultacje z promotorem pracy = 175h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osób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inżynierskim,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harmonogramu prac studenta – formularz FOR10) i ocena merytoryczna przygotowanego materiału, co stanowi podstawę do zaliczenia przed-miotu i przyznania punktów ECTS.
Przyznanie punktów za pracę dyplomową, co jest równoznaczne z zaliczeniem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Poli-techniki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Organizato-ra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teorię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I1_W12: </w:t>
      </w:r>
    </w:p>
    <w:p>
      <w:pPr/>
      <w:r>
        <w:rPr/>
        <w:t xml:space="preserve">Absolwent zna i rozumie 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rozmowy konsultacyjne, weryfikacja postępów prac zgodnie z indywidualnym harmonogramem (FOR-10)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2026-08-21T17:39:24+02:00</dcterms:created>
  <dcterms:modified xsi:type="dcterms:W3CDTF">2026-08-21T17:39:24+02:00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