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Obciążenie studenta: 
Udział w wykładach 20 godzin.
Udział w ćwiczeniach 10 godzin (łącznie godziny kontaktowe: 30 godzin). 
Praca własna: przygotowanie do zajęć, do  kolokwium i egzaminu 70 godzin. 
Sumaryczne obciążenie pracą studenta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jeden punkt ECTS (przedmiot realizowany jest w wymiarze 30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prawa konstytucyjnego, prawa administracyjnego, prawa cywilnego na poziomie wynikającym z programu dwóch pierwszych lat studiów pierwszego stopnia w zakresie administracji.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Założenia i cele przedmiotu:
Przedmiot opiera się na założeniu, że praca w instytucjach rządowych i samorządowych, instytucjach Unii Europejskiej, stowarzyszeniach i fundacjach oraz praca naukowa w dyscyplinie nauki prawne i nauki o polityce i administracji wymaga znajomości podstawowych koncepcji teoretycznych w zakresie finansów publicznych i prawa finansowego. Przedmiot ma na celu dostarczenie wiedzy oraz kształtowanie umiejętności praktycznych i kompetencji społecznych w tym zakresie.
Zamierzone cele dydaktyczne można podzielić na dwie grupy: 
1.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2.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Metody etapowej weryfikacji osiągania efektów uczenia się:
Kolokwium, udział w dyskusji, wykonanie zadań na ćwiczeniach.
Metody końcowej weryfikacji osiągania efektów uczenia się:
Test jednokrotnego wyboru z możliwymi pytaniami otwartymi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5.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dydaktyczne:
- metody podające (wykład informacyjny, wyjaśnienie), 
- metody problemowe (metoda przypadków, dyskusja dydaktyczna), 
- metody praktyczne (pokaz, ćwiczenie przedmiotowe), 
- metody programowane (z użyciem komputera)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I.P6S_WG, II.S.P6S_WG.1, II.S.P6S_WG.2, II.S.P6S_WG.3, II.H.P6S_WG/K.o,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K_U03, K_U04, K_U01, K_U02</w:t>
      </w:r>
    </w:p>
    <w:p>
      <w:pPr>
        <w:spacing w:before="20" w:after="190"/>
      </w:pPr>
      <w:r>
        <w:rPr>
          <w:b/>
          <w:bCs/>
        </w:rPr>
        <w:t xml:space="preserve">Powiązane charakterystyki obszarowe: </w:t>
      </w:r>
      <w:r>
        <w:rPr/>
        <w:t xml:space="preserve">II.S.P6S_UW.2.o, II.S.P6S_UW.3.o, II.H.P6S_UW.1, I.P6S_UW, II.S.P6S_UW.1,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K_K04, K_K05, 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2026-10-01T17:50:45+02:00</dcterms:created>
  <dcterms:modified xsi:type="dcterms:W3CDTF">2026-10-01T17:50:45+02:00</dcterms:modified>
</cp:coreProperties>
</file>

<file path=docProps/custom.xml><?xml version="1.0" encoding="utf-8"?>
<Properties xmlns="http://schemas.openxmlformats.org/officeDocument/2006/custom-properties" xmlns:vt="http://schemas.openxmlformats.org/officeDocument/2006/docPropsVTypes"/>
</file>