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i wytrzymałość materiałów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Joanna Wójkowska/ asystent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(IB)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BIS2A_05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30h; 
Zapoznanie się ze wskazaną literaturą 10h;  
Przygotowanie do zaliczenia 10h; 
Razem 50h = 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pewnymi szczególnymi przypadkami wytrzymałościowymi oraz nabycie umiejętności  w zakresie obliczeń statycznych i wytrzymałościowych rozpatrywanych elementów konstrukcji.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W1-W3 - Wymiarowanie elementów konstrukcyjnych. Stany graniczne nośności i użytkowania. Wyznaczanie przemieszczeń w układach prętowych z wykorzystaniem energii sprężystej. Całkowita energia sprężysta w układzie prętowym.  
W4-W5 - Wzór Maxwella-Mohra. Analityczne i graficzne mnożenie wykresów sił wewnętrznych. Wyznaczanie przemieszczeń w statycznie wyznaczalnych i statycznie niewyznaczalnych układach prętowych. 
W6-W8 - Metoda sił w zastosowaniu do rozwiązywania statycznie niewyznaczalnych układów prętowych. 
W9 – W10 – Sprężyste podparcie układów prętowych statycznie wyznaczalnych i statycznie niewyznaczalnych.
W11-W12 -  Belki na sprężystym podłożu. Podstawowe założenia Hipoteza Winklera, równanie różniczkowe osi odkształconej belki, metoda różnic skończonych w zastosowaniu do rozwiązywania belek na sprężystym podłożu.
W13-W14 - Konstrukcje zespolone. Zasady wyznaczania naprężeń i przemieszczeń.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w semestrze jest uzyskanie pozytywnej oceny ze sprawdzianu   pisemnego, przeprowadzonego na wykładzie.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Jastrzębski P., Mutermilch J., Orłowski W.: Wytrzymałość materiałów. Arkady, Warszawa 1986. 
2. Orłowski W., Słowański L.: Wytrzymałość materiałów. Przykłady obliczeń. Arkady, Warszawa 1978. 
3. Dyląg Z. Krzemińska – Niemiec E. Filip F. Mechanika budowli. PWN Warszawa 1977. 
4. Cywiński Z. Mechanika budowli w zadaniach. PWN, Warszawa - 1984 - Poznań, 
5. W. Kucharczuk, S. Labocha: Konstrukcje zespolone stalowobetonowe budynków. Arkady, Warszawa 2007.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Ma uporządkowaną i podbudowaną teoretycznie wiedzę ogólną obejmującą kluczowe zagadnienia z zakresu mechaniki konstrukcji budowlanych. Posiada wiedzę w zakresie specyfiki obciążeń i zasad projektowania.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</w:t>
      </w:r>
    </w:p>
    <w:p>
      <w:pPr>
        <w:keepNext w:val="1"/>
        <w:spacing w:after="10"/>
      </w:pPr>
      <w:r>
        <w:rPr>
          <w:b/>
          <w:bCs/>
        </w:rPr>
        <w:t xml:space="preserve">Charakterystyka W04_01: </w:t>
      </w:r>
    </w:p>
    <w:p>
      <w:pPr/>
      <w:r>
        <w:rPr/>
        <w:t xml:space="preserve">Ma szczegółową wiedzę w zakresie wyznaczania sił przekrojowych, naprężeń, odkształceń i przemieszczeń, wymiarowania i konstruowania prostych i złożonych elementów konstrukcyjnych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U17_01: </w:t>
      </w:r>
    </w:p>
    <w:p>
      <w:pPr/>
      <w:r>
        <w:rPr/>
        <w:t xml:space="preserve">Potrafi dokonać analizy schematów statycznych konstrukcji.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B2A_U17_01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p>
      <w:pPr>
        <w:keepNext w:val="1"/>
        <w:spacing w:after="10"/>
      </w:pPr>
      <w:r>
        <w:rPr>
          <w:b/>
          <w:bCs/>
        </w:rPr>
        <w:t xml:space="preserve">Charakterystyka U18_01: </w:t>
      </w:r>
    </w:p>
    <w:p>
      <w:pPr/>
      <w:r>
        <w:rPr/>
        <w:t xml:space="preserve">Potrafi ocenić przydatność w konkretnym zadaniu inżynierskim stosowanych w mechanice konstrukcji metod rozwiązywania układów sił i wyznaczania reakcji więzów.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B2A_U18_01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2024-04-28T19:46:17+02:00</dcterms:created>
  <dcterms:modified xsi:type="dcterms:W3CDTF">2024-04-28T19:46:17+02:00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