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
a) uczestnictwo w wykładach - 16 godzin
2) Praca własna studenta - 15 godzin, w tym:
a) studia literaturowe i analiza przykładów opracowań - 10 godzin
b) przygotowanie do sprawdzianu zaliczeniowego - 5 godzin.
RAZEM: 31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punkta ECTS - liczba godzin kontaktowych - 16 godzin, w tym:
a) uczestnictwo w wykładach - 16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Publikacje internetowe: specyfika udostępniania danych przestrzennych i multimedialnych w internecie, zasady redakcji stron WWW, projektowanie serwisów internetowych,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T2A_W10,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GK.NMS450_U1: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keepNext w:val="1"/>
        <w:spacing w:after="10"/>
      </w:pPr>
      <w:r>
        <w:rPr>
          <w:b/>
          <w:bCs/>
        </w:rPr>
        <w:t xml:space="preserve">Efekt GK.NMS450_U2: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GK.NMS450_K1: </w:t>
      </w:r>
    </w:p>
    <w:p>
      <w:pPr/>
      <w:r>
        <w:rPr/>
        <w:t xml:space="preserve">ma świadomość odpowiedzialności za publikowane dane przestrzenne i opisowe, ich jakość i ograniczenia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2026-01-15T12:28:26+01:00</dcterms:created>
  <dcterms:modified xsi:type="dcterms:W3CDTF">2026-01-15T12:28:26+01:00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