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Negocjacje, strategie 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GK.SIOB632_W01: </w:t>
      </w:r>
    </w:p>
    <w:p>
      <w:pPr/>
      <w:r>
        <w:rPr/>
        <w:t xml:space="preserve">uzyska pogłębioną wiedzę z zakresu wyrównania sieci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ustnych o charakterze teoretyczno-problemowym, ocena wiedzy i umiejętności związanych z realizacją zadań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GK.SIOB632_U01: </w:t>
      </w:r>
    </w:p>
    <w:p>
      <w:pPr/>
      <w:r>
        <w:rPr/>
        <w:t xml:space="preserve">potrafi oprogramować procedury wyrównania obserwacji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ustnych o charakterze teoretyczno-problemowym, ocena wiedzy i umiejętności związanych z realizacją zadań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GK.SIOB632_K01: </w:t>
      </w:r>
    </w:p>
    <w:p>
      <w:pPr/>
      <w:r>
        <w:rPr/>
        <w:t xml:space="preserve">ma świadomość odpowiedzialności za poprawność wyników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opracowanych na zajęciach procedur i programów wyrównawczych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2025-05-12T04:07:36+02:00</dcterms:created>
  <dcterms:modified xsi:type="dcterms:W3CDTF">2025-05-12T04:07:36+02:00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