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prawa w biogospodarce (HES5)</w:t>
      </w:r>
    </w:p>
    <w:p>
      <w:pPr>
        <w:keepNext w:val="1"/>
        <w:spacing w:after="10"/>
      </w:pPr>
      <w:r>
        <w:rPr>
          <w:b/>
          <w:bCs/>
        </w:rPr>
        <w:t xml:space="preserve">Koordynator przedmiotu: </w:t>
      </w:r>
    </w:p>
    <w:p>
      <w:pPr>
        <w:spacing w:before="20" w:after="190"/>
      </w:pPr>
      <w:r>
        <w:rPr/>
        <w:t xml:space="preserve">dr inż. Teodor KOWAL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1110-BG000-ISP- 6309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 15/+; C 10/+; S 5/z Razem: 30
aktywność / obciążenie studenta w godz. 
1. Udział w wykładach /15
2. Udział w laboratoriach/0
3. Udział w ćwicz. audytoryjnych /10
4. Udział w projektach /0
5. Udział w seminariach /5
6. Samodzielne studiowanie tematyki wykładów (15x0,8)=/12 
7. Samodzielne przygotowanie do laboratoriów /0
8. Samodzielne przygotowanie do ćwiczeń (10x1)=/10
9. Samodzielne przygotowanie do seminarium(5x1)= /5
10. Samodzielne przygotowanie do projektów /0
11. Udział w konsultacjach (1+2+3+4+5)x0,15=30x0,15=/4,5 
12. Przygotowanie do egzaminu (1+2+3+4+5)/0
13. Przygotowanie do zaliczenia (1+2+3+4+5)x0,4=30x0,4=/12
14. Udział w egzaminie /0
15. Sumaryczne obciążenie pracą studenta ( poz. 1÷14=73,5) 73,5/30 = 2,45 = 2 pkt ECTS
16. Zajęcia z udziałem nauczycieli ( poz. 1+2+3+4+5 +11+14=34,5) 34,5/30 = 1,15 = 1 pkt ECTS
17. Zajęcia o charakterze praktycznym ( poz.2+3+4+5+7+8+9+10=30) 
      30/30 =1,00 = 1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Prawo w ochronie środowiska/ wymagania wstępne: według programu przedmiotu.
Podstawy prawa/wymagania wstępne: według programu przedmiotu.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Podstawy prawne obowiązywania zasady zrównoważonego rozwoju. Prawna stymulacja rozwoju biogospodarki w Polsce. Ograniczenia prawne i zachęty  rozwoju biogospodarki w farmacji, rolnictwie, gospodarce żywnościowej, energetyce, budownictwie i gospodarce odpadami. Zasady prawne wspierania rozwoju biogospodarki ze środków publicznych.</w:t>
      </w:r>
    </w:p>
    <w:p>
      <w:pPr>
        <w:keepNext w:val="1"/>
        <w:spacing w:after="10"/>
      </w:pPr>
      <w:r>
        <w:rPr>
          <w:b/>
          <w:bCs/>
        </w:rPr>
        <w:t xml:space="preserve">Treści kształcenia: </w:t>
      </w:r>
    </w:p>
    <w:p>
      <w:pPr>
        <w:spacing w:before="20" w:after="190"/>
      </w:pPr>
      <w:r>
        <w:rPr/>
        <w:t xml:space="preserve">Wykład /metody dydaktyczne: wykład problemowy
1.	Dokumenty normatywne wprowadzające zasady zrównoważo-nego rozwoju w gospodarce/2
2.	Problem biogospodarki w krajowych strategiach i programach rozwojowych/1
3.	Uwarunkowania prawne wprowadzania produktów leczniczych pochodzenia biologicznego do obrotu/1 
4.	Wymagania prawne dotyczących bezpieczeństwa żywności/1
5.	Przepisy prawne dotyczące środków żywienia zwierząt gospo-darskich/1
6.	Uwarunkowania prawne dotyczące rolnictwa ekologicznego i znakowania ekologicznego żywności/1
7.	Regulacje prawne dotyczące organizmów i mikroorganizmów genetycznie modyfikowanych/1 
8.	Przepisy prawne o nawozach i nawożeniu/1
9.	Prawne zasady postępowania z odpadami biodegradowalnymi/1
10.	Uwarunkowania prawne produkcji biokomponentów i biopaliw  ciekłych oraz biogazu/1
11.	Warunki prawne wykorzystywania biosurowców w produkcji wyrobów budowlanych/1 
12.	Przepisy prawne dotyczące charakterystyki energetycznej bu-dynków/1
13.	Zasady prawne wspierania rozwoju biogospodarki ze środków publicznych/1 
14.	Zaliczenie przedmiotu/1  
Ćwiczenia /metody dydaktyczne: metoda grupowa	
1.	Analiza krajowych strategii i programów rozwojowych w aspek-cie rozwoju biogospodarki/ 4 
2.	Wybrane problemy prawne rozwoju biogospodarki w sektorze rolno-spożywczym/ 4 
3.	Analiza prawnych możliwości wpływu biogospodarki na zaspo-kojenie potrzeb energetycznych gospodarstw domowych i przedsiębiorstw oraz racjonalne jej wykorzystywanie/2	
Seminarium/metody dydaktyczne: seminarium przedmiotowe
1.	Analiza prawnych możliwości wspierania rozwoju biogospodarki ze środków publicznych/2 
2.	Regulacje prawne dotyczące organizmów i mikroorganizmów genetycznie modyfikowanych/3 
</w:t>
      </w:r>
    </w:p>
    <w:p>
      <w:pPr>
        <w:keepNext w:val="1"/>
        <w:spacing w:after="10"/>
      </w:pPr>
      <w:r>
        <w:rPr>
          <w:b/>
          <w:bCs/>
        </w:rPr>
        <w:t xml:space="preserve">Metody oceny: </w:t>
      </w:r>
    </w:p>
    <w:p>
      <w:pPr>
        <w:spacing w:before="20" w:after="190"/>
      </w:pPr>
      <w:r>
        <w:rPr/>
        <w:t xml:space="preserve">Przedmiot zaliczany jest na podstawie zaliczenia na ocenę liczbową. Zaliczenie przedmiotu jest prowadzone w formie sprawdzianu pisem-nego. Warunkiem dopuszczenia do zaliczenia przedmiotu jest zaliczenie ćwiczeń audytoryjnych oraz seminarium na oceny pozytywne
Ćwiczenia zaliczane są na podstawie zaliczenia na ocenę liczbową. Podstawą zaliczenia jest uczestnictwo w ćwiczeniach oraz oceny za  przygotowane materiały na ćwiczenia, odpowiedzi na pytania i za jakość rozwiązanych zadań lub problemów.
Seminaria zaliczane są na podstawie zaliczenia na ocenę uogólnioną. Podstawą zaliczenia jest uczestnictwo w seminarium oraz oceny za przygotowane i wygłoszone referaty oraz wypowiedzi w dyskusji nad referatami.
efekty W1 sprawdzane są podczas ćwiczeń audytoryjnych, seminarium i sprawdzianu za pomocą odpowiednio dobranych pytań, problemów do rozwiązania oraz tematów referatów;
efekty U1 sprawdzane są podczas ćwiczeń i seminarium za pomocą odpowiednio dobranych pytań i problemów do rozwiązania oraz tema-tów referatów;
efekty U2 sprawdzane są podczas ćwiczeń audytoryjnych i seminariów za pomocą przydzielonych tematów i problemów indywidualnego przy-gotowania i zaprezentowania.
Efekty K1 sprawdzane są podczas ćwiczeń audytoryjnych, seminarium i za pomocą sprawdzianu zaliczającego przedmiot poprzez odpowiednio dobrane pytania.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podstawowa:
1.	KULISZ Irena (tł.) – Dokumenty końcowe konferencji Narodów Zjednoczonych „Środowisko i rozwój”. Szczyt Ziemi w Rio de Jane-iro, 3-14 czerwca 1992 roku, Wyd. Instytutu Ochrony Środowiska, Warszawa 1993. 
2.	BUKOWSKI Zbigniew – Zrównoważony rozwój w systemie prawa, Wyd. Dom Organizatora, Toruń 2009.
3.	Plan działań służących realizacji Strategiii Rozwoju Kraju 2020, MRR, Warszawa 2013.
4.	Krajowe inteligentne specjalizacje, Ministerstwo Gospodarki, www.ncbr.gov.pl wejście 06.01.2016 r.
5.	Ustawa z 06.09.2001 r. Prawo farmaceutyczne (Dz.U. Nr 126/2001, 1391 z późn. zm.).
6.	Ustawa z 25.08.2006 r. o bezpieczeństwie żywności i żywienia (Dz.U. Nr 171/2006, poz. 1225 z późn. zm.).
7.	Ustawa z 22.06.2001 r. o mikroorganizmach i organizmach gene-tycznie zmodyfikowanych (Dz.U. N 76/2001, poz. 811 z późn. zm.).
8.	Ustawa z 20.02.2015 r. o odnawialnych źródłach energii (Dz. U. z 2015 r, poz. 478).
9.	Ustawa z 25.08.2006 r. o biokomponentach i biopaliwach ciekłych (Dz.U. Nr 169/2006, poz. 1199 z późn. zm.).
10.	Ustawa z 14.12.2012 r. o odpadach (Dz.U. z 2013 r., poz. 21 z późn. zm.). 
11.	Ustawa z 16.04.2004 r. o wyrobach budowlanych (Dz.U. Nr 92/2004, poz. 881 z późn. zm.).
12.	Ustawa z 29.08.2014 o charakterystyce energetycznej budynków (Dz.U. z 2014 r., poz. 1200 z późn. zm.).
         uzupełniająca:
13.	Ustawa z 30.05.2008 r. o niektórych formach wspierania działalno-ści innowacyjnej (Dz.U. N 116/2008, poz. 730 z późn. zm.).
14.	Ustawa z 06.12.2006 r. o zasadach prowadzenia polityki rozwoju (Dz. U. Nr 227/2006, poz. 1658 z późn. zm.).
15.	Długookresowa Strategia Rozwoju Kraju „Polska 2030” – Trzecia fala nowoczesności, Ministerstwo Administracji i Cyfryzacji, War-szawa 2013 i dokumenty pochodne.
16.	Strategia Innowacyjności i efektywności Gospodarki „Dynamiczna Polska 2020” , Ministerstwo Gospodarki, Warszawa 2013.
17.	Ustawa z 25.06.2009 r. o rolnictwie ekologicznym (Dz.U. Nr 116/2009, poz. 975 z późn. zm.).
18.	Kodeks dobrej praktyki rolniczej, Wyd. Ministerstwo rolnictwa i Rozwoju wsi oraz Ministerstwo Środowiska, Warszawa 2004.
19.	Ustawa z 10.04.1997 r. Prawo energetyczne (Dz.U. Nr 54/1997, poz. 348 z późn. zm.).
20.	Inne wybrane akty prawne, urzędowe poradniki i dokumenty po-mocnicze.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uporządkowaną wiedzę szczegółową o uwarunkowaniach, ograniczeniach i zachętach prawnych rozwoju biogospodarki w Polsce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 K_W20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znaleźć źródłowe prawo mające zastosowanie w określonym sektorze biogospodarki i go zinterpretować na użytek prak-tyczny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Student potrafi przygotować w języku polskim uzasadnioną prawnie prezentację ustną dotyczącą biogospodarki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nabywa świadomość wagi technicznych przepisów prawnych w biogospodarce i roli inżyniera w ich interpretacji oraz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2024-05-02T17:30:39+02:00</dcterms:created>
  <dcterms:modified xsi:type="dcterms:W3CDTF">2024-05-02T17:30:39+02:00</dcterms:modified>
</cp:coreProperties>
</file>

<file path=docProps/custom.xml><?xml version="1.0" encoding="utf-8"?>
<Properties xmlns="http://schemas.openxmlformats.org/officeDocument/2006/custom-properties" xmlns:vt="http://schemas.openxmlformats.org/officeDocument/2006/docPropsVTypes"/>
</file>