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Tworzywa sztuczne jako materiały konstrukcyjne - projekt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Zieliński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CN2A_33P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- 10 h; zapoznanie ze wskazaną literaturą - 10 h; przygotowanie do zajęć - 15 h; pisemne opracowanie projektu - 15 h; Razem - 50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 - 10 h;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- 10 h; zapoznanie ze wskazaną literaturą - 10 h; przygotowanie do zajęć - 15 h; pisemne opracowanie projektu - 15 h; Razem - 50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max. 16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umiejętności i kompetencji społecznych w zakresie projektowania form wtryskowych do otrzymywania wyrobów z tworzyw sztucznych, z uwzględnieniem specyficznych właściwości wybranych materiałów polimerowych.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P1- Zadanie projektowe dotyczące opracowania formy wtryskowej , z uwzględnieniem właściwości wybranego materiału polimerowego. P2 - Zapoznanie z programem SolidWorks. Wykonanie modelu formy wtryskowej za pomocą programu SolidWorks.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zadania projektowego oraz ze znajomości programu SolidWorks. Zadanie projektowe realizowane jest w grupach. Zaliczenie zadania projektowego odbywa się na podstawie oceny opracowania pisemnego. Obecność na zajęciach jest obowiązkowa. Nieusprawiedliwiona nieobecność skutkuje niezaliczeniem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Zawistowski H., Frenkler D.: Konstrukcja form wtryskowych do tworzyw termoplastycznych, Wydawnictwo Plastech, 2016. 
2. Kęska P.: SolidWorks 2014, Wydawnictwo CADVantage, 2014.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właściwie dobranych źródeł i wykorzystanie ich w opracowaniu zadania projektowego.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(P1, P2)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przygotować opracowanie wykonanego projektu.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(P1)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</w:t>
      </w:r>
    </w:p>
    <w:p>
      <w:pPr>
        <w:keepNext w:val="1"/>
        <w:spacing w:after="10"/>
      </w:pPr>
      <w:r>
        <w:rPr>
          <w:b/>
          <w:bCs/>
        </w:rPr>
        <w:t xml:space="preserve">Charakterystyka U09: </w:t>
      </w:r>
    </w:p>
    <w:p>
      <w:pPr/>
      <w:r>
        <w:rPr/>
        <w:t xml:space="preserve">Potrafi wykorzystać do rozwiązywania zadań inżynierskich i projektowych specjalistyczne komputerowe programy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(P1, P2)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i zna możliwości ciągłego dokształcania się, podnoszenia kompetencji zawodowych, osobistych i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(P1, P2)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Ma świadomość konieczności przestrzegania praw autorskich przy realizacji zadań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(P1, P2)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Potrafi współpracować w grupie realizującej wspólne zadanie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(P1, P2)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2025-07-08T07:19:17+02:00</dcterms:created>
  <dcterms:modified xsi:type="dcterms:W3CDTF">2025-07-08T07:19:17+02:00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