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w tym:
a) uczestnictwo w wykładach - 15 godz.
b) uczestnictwo w ćwiczeniach audytoryjnych - 15 godz.
c) uczestnictwo w ćwiczeniach projektowych - 30 godz.
d) udział w konsultacjach związanych z realizacją projektu - 4 godz.
2. Praca własna studenta - 56 godzin, w tym:
a) przygotowanie do ćwiczeń projektowych - 16 godz.
b) opracowanie w domu wyników tematów/projektów realizowanych w ramach ćwiczeń - 20 godz.
c) przygotowanie do 1 kolokwium z wykładów i 1 kolokwium z ćwiczeń audytoryjnych - 20 godz.
Łączny nakład pracy studenta wynosi 120 godziny,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- 64, w tym:
a) uczestnictwo w wykładach - 15 godz.
b) uczestnictwo w ćwiczeniach audytoryjnych - 15 godz.
c) uczestnictwo w ćwiczeniach projektowych - 30 godz.
d) udział w konsultacjach związanych z realizacją projektu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uczestnictwo w ćwiczeniach projektowych - 30 godz.
b) uczestnictwo w ćwiczeniach audytoryjnych - 15 godz.
c) udział w konsultacjach związanych z realizacją projektu - 5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podstawowej wiedzy z prawa cywilnego i administracyjnego oraz z zakresu kształtowania polityki przestrzennej na poziomie gminy. Znajomość podstawowych zasad i procedury wyceny nieruchomości.</w:t>
      </w:r>
    </w:p>
    <w:p>
      <w:pPr>
        <w:keepNext w:val="1"/>
        <w:spacing w:after="10"/>
      </w:pPr>
      <w:r>
        <w:rPr>
          <w:b/>
          <w:bCs/>
        </w:rPr>
        <w:t xml:space="preserve">Limit liczby studentów: </w:t>
      </w:r>
    </w:p>
    <w:p>
      <w:pPr>
        <w:spacing w:before="20" w:after="190"/>
      </w:pPr>
      <w:r>
        <w:rPr/>
        <w:t xml:space="preserve">16 – studentów na ćwiczeniach projektowych, 60 – studentów na wykładzie, 30 - studentów na ćwiczeniach audytoryjnych</w:t>
      </w:r>
    </w:p>
    <w:p>
      <w:pPr>
        <w:keepNext w:val="1"/>
        <w:spacing w:after="10"/>
      </w:pPr>
      <w:r>
        <w:rPr>
          <w:b/>
          <w:bCs/>
        </w:rPr>
        <w:t xml:space="preserve">Cel przedmiotu: </w:t>
      </w:r>
    </w:p>
    <w:p>
      <w:pPr>
        <w:spacing w:before="20" w:after="190"/>
      </w:pPr>
      <w:r>
        <w:rPr/>
        <w:t xml:space="preserve">1. Zasadność określania wartości nieruchomości dla potrzeb gospodarki przestrzennej, z odniesieniem do obowiązujących uwarunkowań prawnych.
2. Nabycie umiejętności doboru i korzystania z przepisów prawnych związanych ze szczegółowymi uwarunkowaniami gromadzenia informacji i wykonywania badań rynkowych dla potrzeb analiz cen rynkowych nieruchomości. 
3.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WYKŁADY:
WPROWADZENIE. PODSTAWY PRAWNE I PROCEDURA WYCENY NIERUCHOMOŚCI - PRZYPOMNIENIE
OPŁATA PLANISTYCZNA I ROSZCZENIA ODSZKODOWAWCZE. 
WYCENA NIERUCHOMOŚCI DLA POTRZEB USTALENIA OPŁAT ADIACENCKICH:
- z tytułu doprowadzenia urządzeń infrastruktury technicznej,
- z tytułu podziału nieruchomości,
- z tytułu scalenia i podziału nieruchomości.
PRAWO UŻYTKOWANIA WIECZYSTEGO:
1. Wycena prawa użytkowania wieczystego.
2. Aktualizacja opłat z tytułu użytkowania wieczystego gruntu z uwzględnieniem nakładów poniesionych przez użytkownika wieczystego. 
3. Przekształcenie prawa użytkowania wieczystego gruntu w prawo własności - nowe regulacje prawne.
WYCENA WYBRANYCH OGRANICZONYCH PRAW RZECZOWYCH:
Przykłady wycen:
1. Określenie wartości prawa użytkowania.
2. Określenie wartości służebności gruntowej dla potrzeb określenia wysokości wynagrodzenia z tytułu jej  ustanowienia.
3. Określenie wartości służebności gruntowej dla potrzeb wywłaszczenia.
4. Określanie wartości służebności przesyłu i wynagrodzenia za jej ustanowienie oraz wynagrodzenia za bezumowne korzystanie z nieruchomości przez przedsiębiorców przesyłowych.
6. Określenie wartości spółdzielczego własnościowego prawa do lokalu dla potrzeb przekształceń.
WYCENA PRAWA DOŻYWOCIA.  
WYCENA NIERUCHOMOŚCI NABYTYCH, PRZEZNACZONYCH LUB ZAJĘTYCH POD DROGI PUBLICZNE DLA POTRZEB USTALENIA WYSOKOŚCI ODSZKODOWANIA. 
ROLA RZECZOZNAWCY MAJĄTKOWEGO W PROCESIE REWITALIZACJI
ĆWICZENIA AUDYTORYJNE: 
Rozwiązywanie zadań problemowych stanowiących określone, praktyczne zastosowanie wiedzy teoretycznej pozyskanej na wykładach.
ĆWICZENIA PROJEKTOWE:
Projekt operatu szacunkowego z określenia wartości rynkowej nieruchomości gruntowej niezabudowanej według przeznaczenia przed i po wprowadzeniu (zmiany) miejscowego planu zagospodarowania przestrzennego dla potrzeb naliczenia opłaty planistycznej.
Studenci w ramach przedmiotu odbywają wizytę studyjną w Miejskiej Pracowni Planowania Przestrzennego i Strategii Rozwoju w Warszawie, gdzie zdobywają praktyczną wiedzę z zakresu realizacji poszczególnych etapów prognozy skutków finansowych uchwalenia planu miejscowego, oraz problemów powszechnie występujących przy jej sporządzaniu.
</w:t>
      </w:r>
    </w:p>
    <w:p>
      <w:pPr>
        <w:keepNext w:val="1"/>
        <w:spacing w:after="10"/>
      </w:pPr>
      <w:r>
        <w:rPr>
          <w:b/>
          <w:bCs/>
        </w:rPr>
        <w:t xml:space="preserve">Metody oceny: </w:t>
      </w:r>
    </w:p>
    <w:p>
      <w:pPr>
        <w:spacing w:before="20" w:after="190"/>
      </w:pPr>
      <w:r>
        <w:rPr/>
        <w:t xml:space="preserve">Przedmiot obejmuje trzy formy zajęć: wykłady, ćwiczenia audytoryjne i ćwiczenia projektowe.
FORMA ZALICZENIA ĆWICZEŃ PROJEKTOWYCH:
Warunkiem zaliczenia ćwiczeń projektowych jest prawidłowe wykonanie i obrona ustna projektu operatu szacunkowego. Wykonanie poszczególnych etapów projektów będzie sprawdzane na bieżąco. Dwukrotne nieprzygotowanie się do ćwiczeń skutkuje obniżeniem o pół stopnia oceny z projektu. Student jest zobowiązany dostarczyć projekty w formie pisemnej i elektronicznej (PDF) w terminie wskazanym przez prowadzącego. Trzykrotna nieobecność na ćwiczeniach w ciągu semestru powoduje niezaliczenie ćwiczeń. Nieobecność na zajęciach nie zwalnia studenta z obowiązku rozliczenia się z poprzednich zajęć i przygotowania się do następnych zajęć z realizacji poszczególnych etapów projektu.
FORMA ZALICZENIA ĆWICZEŃ AUDYTORYJNYCH:
Warunkiem zaliczenia ćwiczeń jest otrzymanie pozytywnej oceny ze sprawdzaniu (wymagane jest uzyskanie minimum 51% punktów). Sprawdzian obejmuje krótkie zadania obliczeniowe i problemowe. Do sprawdzianu poprawkowego mogą przystąpić studenci, którzy nie pisali lub nie zaliczyli sprawdzianu pisemnego. Najwyższą ocenę jaką można wówczas otrzymać to 3,0. Trzykrotna nieobecność na zajęciach w ciągu semestru powoduje niezaliczenie przedmiotu. 
FORMA ZALICZENIA WYKŁADU:
Warunkiem zaliczenia wykładów jest zdanie egzaminu. Do egzaminu w terminie zerowym mogą przystąpić wyłącznie Studenci, którzy mają zaliczone ćwiczenia na co najmniej ocenę dobrą. Egzamin odbywa się w formie pisemnej w terminach ustalonych przez Dziekana Wydziału. W sesji zimowej są dwa terminy egzaminu. Trzeci termin jest w sesji poprawkowej - we wrześniu. Egzamin odbywa się w formie pisemnej. Obejmuje zagadnienia teoretyczne. Do zdania egzaminu wymagane jest uzyskanie minimum 51% punktów. Podczas egzaminu nie dopuszcza się korzystania z materiałów pomocniczych oraz urządzeń elektronicznych (telefony, tablety itp. muszą być wyłączone i pozostawione w wyznaczonym przez prowadzącego miejscu). Stwierdzenie korzystania z materiałów pomocniczych lub urządzeń elektronicznych skutkuje niezaliczeniem egzaminu i utratą dodatkowego terminu.
Ocenę łączną ustala się na podstawie średniej ważonej z zaliczenia wykładu - ocena z egzaminu (waga 2), ćwiczeń audytoryjnych (waga 1) i ćwiczeń projektowych (waga 1), oraz przyporządkowania wyniku tego obliczenia do następujących przedziałów liczbowych odpowiadających ocenom:
5,0 – pięć (średnia 4,76 – 5,0); 
4,5 – cztery i pół (4,26-4,75), 
4,0 – cztery (3,76-4,25),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20 lipca 2018 r. o przekształceniu prawa użytkowania wieczystego gruntów zabudowanych na cele mieszkaniowe w prawo własności tych gruntów
7. Ustawa z dnia 9 października 2015 r. o rewitalizacji
8. Ustawa z dnia 5 lipca 2018 r. o ułatwieniach w przygotowaniu i realizacji inwestycji mieszkaniowych oraz inwestycji towarzyszących
9. Rozporządzenie Rady Ministrów z dnia 21 września 2004 r. w sprawie wyceny nieruchomości i sporządzania operatu szacunkowego (Dz.U. z 2004 r. Nr 207, poz. 2109; Dz.U. z 2005 r. Nr 196, poz. 1628; Dz.U. z 2011 r. Nr 165, poz. 985).
i inne regulujące zagadnienia tematyczne omawiane w ramach wykładów.
Publikacje (wydania aktualne):
1. Dydenko J. (red.), Szacowanie nieruchomości. Rzeczoznawstwo majątkowe. LEX Grupa Wolters Kluwer.
2. Cymerman R. (red.) Opłaty adiacenckie. Educaterra.
3. Horoszko M., Pęchorzewski D. (red.), Gospodarka nieruchomościami. Komentarz. C.H.Beck.
4. Prystupa M., Wycena nieruchomości przy zastosowaniu podejścia porównawczego. PFSRM.
5. Wolanin M., Ustawa o szczególnych zasadach przygotowania i realizacji inwestycji w zakresie dróg publicznych. Komentarz. C.H.Beck.
6. Wolanin M., Podziały, scalenia i rozgraniczenia nieruchomości. C.H.Beck.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2024-05-06T01:00:20+02:00</dcterms:created>
  <dcterms:modified xsi:type="dcterms:W3CDTF">2024-05-06T01:00:20+02:00</dcterms:modified>
</cp:coreProperties>
</file>

<file path=docProps/custom.xml><?xml version="1.0" encoding="utf-8"?>
<Properties xmlns="http://schemas.openxmlformats.org/officeDocument/2006/custom-properties" xmlns:vt="http://schemas.openxmlformats.org/officeDocument/2006/docPropsVTypes"/>
</file>