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omawia zagadnienia związane z projektowaniem ekologicznym, zrównoważonym rozwojem.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obiekty usługowe z zakresu handlu, biur, przemysłu, oświaty rozwiązania ekologiczne w budownictwie, rozwój zrównoważony w budownictwie.
</w:t>
      </w:r>
    </w:p>
    <w:p>
      <w:pPr>
        <w:keepNext w:val="1"/>
        <w:spacing w:after="10"/>
      </w:pPr>
      <w:r>
        <w:rPr>
          <w:b/>
          <w:bCs/>
        </w:rPr>
        <w:t xml:space="preserve">Metody oceny: </w:t>
      </w:r>
    </w:p>
    <w:p>
      <w:pPr>
        <w:spacing w:before="20" w:after="190"/>
      </w:pPr>
      <w:r>
        <w:rPr/>
        <w:t xml:space="preserve">Zaliczenie wykładu w formie prezentacji, której temat zostanie przedstawiony na wykładzie.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2026-08-20T12:17:53+02:00</dcterms:created>
  <dcterms:modified xsi:type="dcterms:W3CDTF">2026-08-20T12:17:53+02:00</dcterms:modified>
</cp:coreProperties>
</file>

<file path=docProps/custom.xml><?xml version="1.0" encoding="utf-8"?>
<Properties xmlns="http://schemas.openxmlformats.org/officeDocument/2006/custom-properties" xmlns:vt="http://schemas.openxmlformats.org/officeDocument/2006/docPropsVTypes"/>
</file>