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Hanna Trojanowska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35 godzin, w tym:
a) obecność na wykładach - 30 godzin 
b) konsultacje - 5 godzin
2. Praca własna studenta – 15 godzin, w tym: 
a) przygotowywanie się studenta do kolokwium - 5 godzin
b) zapoznanie się z literaturą - 10 godzin
Łączny nakład pracy studenta wynosi 50 godzin,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pkt. ECTS - liczba godzin kontaktowych 35, w tym:
a) obecność na wykładach - 30 godzin 
b) konsultacje - 5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o gospodarce.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 –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podstawowych zasadach działania współczesnej gospodarki.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cyklu wykładowego poruszane są następujące zagadnienia:
Podstawowe pojęcia i przedmiot ekonomii. 
Rachunek dochodu narodowego.
Gospodarka rynkowa. . 
Przedsiębiorstwo w gospodarce rynkowej.
Formy rynku:wolna konkurencja, monopol, oligopol, monopson.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na podstawie kolokwium 
Kolokwium obejmuje zagadnienia omówione na wykładzie. 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"Makro i mikroekonomia. Podstawowe problemy", red. Stefan Marciniak,  PWN, Warszawa 2007.
2. "Przemiany we współczesnej gospodarce światowej", red. Ewa Oziewicz , PWE, Warszawa 2006.
3. M. Łakomy, Rynek, "Istota, geneza", Maternus Media, Tychy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GP.SIK401_W1: </w:t>
      </w:r>
    </w:p>
    <w:p>
      <w:pPr/>
      <w:r>
        <w:rPr/>
        <w:t xml:space="preserve">rozumienie i posługiwanie się podstawowymi kategoriami ekonomicznymi.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S1A_W11, T1A_W09</w:t>
      </w:r>
    </w:p>
    <w:p>
      <w:pPr>
        <w:keepNext w:val="1"/>
        <w:spacing w:after="10"/>
      </w:pPr>
      <w:r>
        <w:rPr>
          <w:b/>
          <w:bCs/>
        </w:rPr>
        <w:t xml:space="preserve">Efekt GP.SIK401_W2: </w:t>
      </w:r>
    </w:p>
    <w:p>
      <w:pPr/>
      <w:r>
        <w:rPr/>
        <w:t xml:space="preserve">wykorzystanie teorii do oceny racjonalności decyzji gospodarczych i interpretowania problemów praktyki gospodarczej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S1A_W11,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GP.SIK401_U1: </w:t>
      </w:r>
    </w:p>
    <w:p>
      <w:pPr/>
      <w:r>
        <w:rPr/>
        <w:t xml:space="preserve">umie określić mierniki i czynniki oraz bariery wzrostu gospodarczego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S1A_U02, S1A_U03, S1A_U08, P1A_U01</w:t>
      </w:r>
    </w:p>
    <w:p>
      <w:pPr>
        <w:keepNext w:val="1"/>
        <w:spacing w:after="10"/>
      </w:pPr>
      <w:r>
        <w:rPr>
          <w:b/>
          <w:bCs/>
        </w:rPr>
        <w:t xml:space="preserve">Efekt GP.SIK401_U2: </w:t>
      </w:r>
    </w:p>
    <w:p>
      <w:pPr/>
      <w:r>
        <w:rPr/>
        <w:t xml:space="preserve">potrafi analizować stan koniunktury gospodarczej, zjawisko inflacji i bezrobocia, problemy równowagi pieniężnej i budżetowej, roli handlu zagranicznego oraz skutków polityki ekonomicznej państwa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S1A_U02, S1A_U03, S1A_U08, P1A_U01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GP.SIK401_K1: </w:t>
      </w:r>
    </w:p>
    <w:p>
      <w:pPr/>
      <w:r>
        <w:rPr/>
        <w:t xml:space="preserve">ma świadomość pozyskanej wiedzy i umiejętności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2026-09-12T13:20:40+02:00</dcterms:created>
  <dcterms:modified xsi:type="dcterms:W3CDTF">2026-09-12T13:20:40+02:00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