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obecność na wykładach - 30 godz. ,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- 45 godzin, w tym: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 Materiały Inżynierskie, WNT 1996, część II.
2. K. Przybyłowicz, Podstawy teoretyczne metaloznawstwa, Warszawa 1999.
3. R. Pampuch, Materiały ceramiczne: zarys nauki o materiałach nieorganiczno-niemetalicznych, 1988.
4. M.F.Ashby, Materials Selection in Mechanical Design, Pregamon Press 1992 (pełny tekst dostępny na Knovel General Engineering&amp;Project Administration Academic).
5. F. Wojtkun, J.P.Sołncew, Materiały Specjalnego przeznaczenia, Wyd. 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PTNiK_W1: </w:t>
      </w:r>
    </w:p>
    <w:p>
      <w:pPr/>
      <w:r>
        <w:rPr/>
        <w:t xml:space="preserve">Posiada wiedzę o zjawiskach zachodzących w narzędziach i konstrukcjach pod działaniem złożonego układu sił mechanicznych oraz innych oddziaływań środowiska wpływających na ich trwałość oraz bezpieczeństwo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PTNiK_U1: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trwałości materiałów i narzędzi. Posiada umiejętność oceny trwałości ceramicznych narzędzi skrawających. Potrafi publicznie przedstawić wyniki przeprowadzonej oceny i przeprowadzić dyskusję. Przy przygotowywaniu seminarium student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IM2_U02, IM2_U05, IM2_U07, 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I.P7S_UU, III.P7S_UW.1.o,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2024-05-07T12:11:45+02:00</dcterms:created>
  <dcterms:modified xsi:type="dcterms:W3CDTF">2024-05-07T12:11:45+02:00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