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Materials Desing - Fundamentals</w:t>
      </w:r>
    </w:p>
    <w:p>
      <w:pPr>
        <w:keepNext w:val="1"/>
        <w:spacing w:after="10"/>
      </w:pPr>
      <w:r>
        <w:rPr>
          <w:b/>
          <w:bCs/>
        </w:rPr>
        <w:t xml:space="preserve">Koordynator przedmiotu: </w:t>
      </w:r>
    </w:p>
    <w:p>
      <w:pPr>
        <w:spacing w:before="20" w:after="190"/>
      </w:pPr>
      <w:r>
        <w:rPr/>
        <w:t xml:space="preserve">dr hab.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PPMAT</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30 godz. wykładów i 20 godz. samodzielnej pracy studenta (zapoznanie się ze wskazaną literaturą i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w tematykę wykładu i laboratorium: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
Przedmiot prowadzony z wykorzystaniem nowoczesnych metod projektowania i kształcenia - Design Thinking</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z zakresu metod numerycznych, systemów komputerowego wspomagania doboru materiałów (CAMS), systemów komputerowego wspomagania projektowania materiałowego CAMD (Computer Aided Materials Design), systemów komputerowego wspomagania projektowania technologii wytwarzania i przetwórstwa materiałów CAM (Computer Aided Manufacturing), baz danych materiałowych i zasad ich wykorzystywania.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IM2_W04, IM2_W11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Ma rozszerzoną wiedzę z zakresu fizyki molekularnej, mechaniki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IM2_W04, IM2_W02</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Ma rozszerzoną wiedzę w zakresie metodologii projektowania materiałów, projektowania materiału z uwzględnieniem aspektów związanych z docelowym przeznaczeniem materiału, cyklu życia materiału, aspektów ekonomicznych i ekologicznych. Posiada wiedzę z zakresu projektowania materiałów do zastosowań biomedycznych. Posiada wiedzę z zakresu przeprowadzania kontroli jakości materiałów i metod ich wytwarzania.</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IM2_W08, IM2_W09, IM2_W11, IM2_W12</w:t>
      </w:r>
    </w:p>
    <w:p>
      <w:pPr>
        <w:spacing w:before="20" w:after="190"/>
      </w:pPr>
      <w:r>
        <w:rPr>
          <w:b/>
          <w:bCs/>
        </w:rPr>
        <w:t xml:space="preserve">Powiązane charakterystyki obszarowe: </w:t>
      </w:r>
      <w:r>
        <w:rPr/>
        <w:t xml:space="preserve">I.P7S_WG, III.P7S_WG.o,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lub w wyniku przeprowadzonej analizy fachowej literatury student potrafi wykorzystać wiedzę oraz metody projektowania numerycznego do formułowania i rozwiązywania problemów inżynierskich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IM2_U01, IM2_U05, IM2_U08, IM2_U09, IM2_U10, IM2_U11, IM2_U12, IM2_U17</w:t>
      </w:r>
    </w:p>
    <w:p>
      <w:pPr>
        <w:spacing w:before="20" w:after="190"/>
      </w:pPr>
      <w:r>
        <w:rPr>
          <w:b/>
          <w:bCs/>
        </w:rPr>
        <w:t xml:space="preserve">Powiązane charakterystyki obszarowe: </w:t>
      </w:r>
      <w:r>
        <w:rPr/>
        <w:t xml:space="preserve">I.P7S_UW, I.P7S_UU, III.P7S_UW.1.o, III.P7S_UW.4.o, III.P7S_UW.2.o,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2026-04-14T05:31:53+02:00</dcterms:created>
  <dcterms:modified xsi:type="dcterms:W3CDTF">2026-04-14T05:31:53+02:00</dcterms:modified>
</cp:coreProperties>
</file>

<file path=docProps/custom.xml><?xml version="1.0" encoding="utf-8"?>
<Properties xmlns="http://schemas.openxmlformats.org/officeDocument/2006/custom-properties" xmlns:vt="http://schemas.openxmlformats.org/officeDocument/2006/docPropsVTypes"/>
</file>