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laboratoryjne 45 godzin,  praca własna studenta 60 godzin (przygotowanie się do wykładu, ćwiczeń laboratoryjnych, przygotowanie referatu). Razem 150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wykłądy - bez limitu, laboratoria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(wykład).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 (wykład).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 (laboratorium).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 (wykład).
2. Materiały wykładowe, materiały ITME (laboratorium).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ME_W1: </w:t>
      </w:r>
    </w:p>
    <w:p>
      <w:pPr/>
      <w:r>
        <w:rPr/>
        <w:t xml:space="preserve">Ma wiedzę o mechanizmach wzbudzania i transportu nośników ładunku elektrycznego w materiałach półprzewodnikowych, opisie struktury energetycznej nośników przy zastosowaniu modelu pasmowego oraz o sposobach oddziaływania na tą strukturę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IM2_W02, 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IM2_U02, IM2_U03, IM2_U04, IM2_U05, IM2_U07, IM2_U08, IM2_U13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I.P7S_UU, III.P7S_UW.1.o, III.P7S_UW.4.o,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2026-07-29T16:04:52+02:00</dcterms:created>
  <dcterms:modified xsi:type="dcterms:W3CDTF">2026-07-29T16:04:52+02:00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