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materiały narzędziowe/ Modern Tool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przygotowanie się do kolokwium - 10 godzin. Razem 25 godzin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 wykład, laboratorium i seminarium.
Materiały ceramiczne.
Tworzywa metaliczne - stale szybkotnące.
Metalurgia proszków.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nowoczesnymi materiałami narzędziowymi stosowanymi w obróbce skrawaniem oraz z nowoczesnymi technikami inżynierii powierzchni wytwarzania na nich warstw wierzchnich oraz powłok zwiększających ich trwałość.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metalurgii proszków. Elementy procesu skrawania materiałów. Stale szybkotnące konwencjonalne i spiekane. Spiekane materiały narzędziowe, (węgliki metali). Ceramika narzędziowowa. Materiały supertwarde 
technologie wytwarzania nowoczesnych materiałów narzędziowych. Technologie wytwarzania warstw wierzchnich i powłok na narzędziach do obróbki skrawaniem. Ogólne zasady doboru materiałów narzędziowych.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1-godzinne kollokwia sprawdzające w trakcie trwania zajęć. Pierwsze po 7 godzinach wykładu, Drugie po 14 godzinach wykładu. Zalicza min 50% punktów z obu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Wysiecki, Nowoczesne materiały narzędziowe Wydawnictwa Naukowo-Techniczne, Warszawa 1997. 
2. T. Burakowski, T. Wierzchoń, Inżynieria powierzchni metali, WNT Warszawa 1995.
3. P. Kula, Inżynieria warstwy wierzchniej Monografie. Łódź 2000.
4. A. Michalski, Fizykochemiczne podstawy otrzymywania powłok z fazy gazowej.  Oficyna Wydawnicza Politechniki Warszawskiej. Warszawa 2000.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NMN_W1: </w:t>
      </w:r>
    </w:p>
    <w:p>
      <w:pPr/>
      <w:r>
        <w:rPr/>
        <w:t xml:space="preserve">posiada wiedzę dotyczącą narzędzi do obróbki skrawaniem wykonanych ze stali szybkotnących, węglików spiekanych i materiałów ceramicznych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NMN_W2: </w:t>
      </w:r>
    </w:p>
    <w:p>
      <w:pPr/>
      <w:r>
        <w:rPr/>
        <w:t xml:space="preserve">posiada wiedzę dotyczącą wytwarzania warstw powierzchniowych na narzędziach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NMN_U1: </w:t>
      </w:r>
    </w:p>
    <w:p>
      <w:pPr/>
      <w:r>
        <w:rPr/>
        <w:t xml:space="preserve">potrafi dokonać wyboru właściwej warstwy powierzchniowej dla konkretnego narzędzia do obróbki skrawaniem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NMN_U2: </w:t>
      </w:r>
    </w:p>
    <w:p>
      <w:pPr/>
      <w:r>
        <w:rPr/>
        <w:t xml:space="preserve">potrafi dokonać wyboru właściwego narzędzia do obróbki skrawaniem dla konkretnego detalu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2026-10-04T04:50:09+02:00</dcterms:created>
  <dcterms:modified xsi:type="dcterms:W3CDTF">2026-10-04T04:50:09+02:00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