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PNOM1, PNOM2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IM1_W10,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OCCH_U2: </w:t>
      </w:r>
    </w:p>
    <w:p>
      <w:pPr/>
      <w:r>
        <w:rPr/>
        <w:t xml:space="preserve">Ma orientacje w podstawach projektowania dyfuzyjnych warstw powierzchniowych i sposobów ich wytwarzania pod kątem uzyskania określonych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III.P6S_UW.3.o,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IM1_U16, IM1_U08, IM1_U10, IM1_U12, 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2026-10-03T09:42:47+02:00</dcterms:created>
  <dcterms:modified xsi:type="dcterms:W3CDTF">2026-10-03T09:42:47+02:00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