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Opcjonalnie w dwóch wariantach w zależności od wybranej przez studenta formy zaliczenia (1) lub (2):
1) Udział w wykładach 15h
Praca własna: 
-przygotowanie do zajęć 30h
-czytanie wskazanej literatury 5h
- napisanie referatu 0
Ogółem praca własna wariant 1 35h
lub
2) Udział w wykładach 15h
Praca własna: 
-przygotowanie do zajęć 5h
-czytanie wskazanej literatury 10h
- napisanie referatu 20h
Ogółem praca własna wariant 2   35h
Obiążenie studenta ogółem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2. Wnioskowania i ich rodzaje. Schematy wnioskowań. Formalizacja wnioskowań. Analiza wnioskowań i związków logicznych w tekstach prawnych i dokumentach urzędowych. 	2
3. Podstawowe jednostki syntaktyczne i semantyczne aktów i dokumentów prawnych. Określanie kategorii semantycznych aktów prawnych: przykłady. Określanie kategorii syntaktycznych aktów prawnych: przykłady	2
4. Tekst prawny i jego logiczna analiza. Przykłady	2
5. Dokument urzędowy i jego logiczna analiza: przykłady	2
6. Schematy blokowe i algorytmy. Metody graficzne obrazowania zależności strukturalno-logicznych dokumentów i aktów prawnych. Analiza struktury organizacji.	2
7. Analiza tekstu z użyciem algorytmów, schematów blokowych i metod graficznych	2
8. Elementy teorii mnogości i jej zastosowań do rozwiązywania problemów w prawie i administracji.	1
</w:t>
      </w:r>
    </w:p>
    <w:p>
      <w:pPr>
        <w:keepNext w:val="1"/>
        <w:spacing w:after="10"/>
      </w:pPr>
      <w:r>
        <w:rPr>
          <w:b/>
          <w:bCs/>
        </w:rPr>
        <w:t xml:space="preserve">Metody oceny: </w:t>
      </w:r>
    </w:p>
    <w:p>
      <w:pPr>
        <w:spacing w:before="20" w:after="190"/>
      </w:pPr>
      <w:r>
        <w:rPr/>
        <w:t xml:space="preserve">Forma i warunki zaliczenia
Podstawą zaliczenia przedmiotu jest uzyskanie pozytywnych oceny z zadanej pracy zaliczeniowej lub kolokwium oraz aktywność na wykładach. Wykłady kończą się kolokwium lub pracą zaliczeniową, które obejmują wiedzę z wykładów oraz zalecanej literatury. Czas pisania kolokwium – ok. 35 minut. Ocena końcowa będzie określona na podstawie wyników kolokwium lub ocenie z zadanej pracy (fakultatywnie) oraz ocenie aktywności na zajęciach. Studenci wykazujący się aktywnością mogą być zwolnieni z kolokwium zaliczeniowego. Warunki zwolnienia: aktywne uczestnictwo studenta w zajęciach oraz pozytywna ocena pracy zaliczeniowej. Przygotowywanie się do zajęć na podstawie podanej literatury i materiałów źródłowych.
Obecność na wykładach nieobowiązkowa, dla osób chętnych do zdobywania dodatkowych punktów za aktywność na wykładach i zajęciach oraz uprawnionych do pisania pracy zaliczeniowej będzie wyrywkowo sprawdzana obecność. Nieobecność na dwóch listach wyklucza możliwość zdobywania punktów za aktywność na wykładach i pisanie pracy zaliczeniowej.
Pytania i problemy w czasie zajęć. Na wykładach premiowanie „plusami” („dużymi” i „małymi”). Zebranie 2 „dużych” plusów lun 4 „małych” – zaliczenie na ocenę 5,0 bez pisania kolokwium i pracy zaliczeniowej. 
Na prośbę studentów, prowadzący zajęcia może podjąć decyzję o dodatkowych terminach kolokwiów. Prowadzący może podjąć decyzję o zaliczaniu przedmiotu tylko na podstawie kolokwiów
Ocena za przedmiot
Ocena	Student, który zaliczył przedmiot (moduł) wie / umie / potrafi:
3.0	Uzyskał co najmniej 40% maksymalnej łącznej liczby punktów na kolokwium lub zaliczył pracę zaliczeniową na 3,0 wraz z wykazaniem się aktywnością na wykładach
3.5	Uzyskał co najmniej 65% maksymalnej łącznej liczby punktów na kolokwium lub zaliczył pracę zaliczeniową na 3,5 wraz z wykazaniem się aktywnością na wykładach.
4.0	Uzyskał co najmniej 75% maksymalnej łącznej liczby punktów na kolokwium lub zaliczył pracę zaliczeniową na 4,0 wraz z wykazaniem się aktywnością na wykładach.
4.5	Uzyskał co najmniej 85% maksymalnej łącznej liczby punktów na kolokwium lub zaliczył pracę zaliczeniową na 4,5 wraz wykazaniem się aktywnością na wykładach.
5.0	Uzyskał co najmniej 95% maksymalnej łącznej liczby punktów na kolokwium lub zaliczył pracę zaliczeniową na 5,0 wraz wykazaniem się aktywnością na wykładach.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(wybrane fragmenty):
1. Ludwik Borkowski „Logika formalna. Systemy logiczne. Wstęp do metalogiki”, PWN Warszawa 1977
2. Ludwik Borkowski „Elementy logiki formalnej.” Lublin 1991
3. Z. Ziembiński, „Logika praktyczna”, PWN, Warszawa 2007 (i późniejsze wydania)
Literatura uzupełniająca (wybrane fragmenty):
1.	Kazimierz Kuratowski „Wstęp do teorii mnogości i topologii.”, PWN Warszawa 2004
2.	Barbara Stanosz „Ćwiczenia z logiki”, Wydawnictwo Naukowe PWN, Warszawa 2007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na czym polega formalizacja i jakie są metody formalne przydatne w prawie i administracji. </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II.S.P7S_WG.1, II.S.P7S_WG.2, I.P7S_WK, II.X.P7S_WG.1.o, II.H.P7S_WG.1.o, II.H.P7S_WG.2, I.P7S_WG, II.T.P7S_WG</w:t>
      </w:r>
    </w:p>
    <w:p>
      <w:pPr>
        <w:keepNext w:val="1"/>
        <w:spacing w:after="10"/>
      </w:pPr>
      <w:r>
        <w:rPr>
          <w:b/>
          <w:bCs/>
        </w:rPr>
        <w:t xml:space="preserve">Charakterystyka W_02: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II.X.P7S_WG.1.o, II.S.P7S_WG.1, II.H.P7S_WG.2, I.P7S_WG, II.S.P7S_WG.2, II.H.P7S_WG.1.o, I.P7S_WK, II.T.P7S_WG</w:t>
      </w:r>
    </w:p>
    <w:p>
      <w:pPr>
        <w:keepNext w:val="1"/>
        <w:spacing w:after="10"/>
      </w:pPr>
      <w:r>
        <w:rPr>
          <w:b/>
          <w:bCs/>
        </w:rPr>
        <w:t xml:space="preserve">Charakterystyka W_03: </w:t>
      </w:r>
    </w:p>
    <w:p>
      <w:pPr/>
      <w:r>
        <w:rPr/>
        <w:t xml:space="preserve">Wie jak analizować kategorie syntaktyczne i semantyczne tekstu prawnego.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W_04: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II.T.P7S_WG, II.S.P7S_WG.1, II.S.P7S_WG.2, I.P7S_WK, II.X.P7S_WG.1.o, II.H.P7S_WG.1.o, II.H.P7S_WG.2, I.P7S_WG</w:t>
      </w:r>
    </w:p>
    <w:p>
      <w:pPr>
        <w:keepNext w:val="1"/>
        <w:spacing w:after="10"/>
      </w:pPr>
      <w:r>
        <w:rPr>
          <w:b/>
          <w:bCs/>
        </w:rPr>
        <w:t xml:space="preserve">Charakterystyka W_05: </w:t>
      </w:r>
    </w:p>
    <w:p>
      <w:pPr/>
      <w:r>
        <w:rPr/>
        <w:t xml:space="preserve">Wie jak wynajdować funktory logiczne w tekście prawnym i administracyjnym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I.P7S_WG, II.X.P7S_WG.1.o, II.S.P7S_WG.1, II.H.P7S_WG.2, II.S.P7S_WG.2, II.H.P7S_WG.1.o, I.P7S_WK, II.T.P7S_WG</w:t>
      </w:r>
    </w:p>
    <w:p>
      <w:pPr>
        <w:keepNext w:val="1"/>
        <w:spacing w:after="10"/>
      </w:pPr>
      <w:r>
        <w:rPr>
          <w:b/>
          <w:bCs/>
        </w:rPr>
        <w:t xml:space="preserve">Charakterystyka W_06: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II.H.P7S_UW.2.o, I.P7S_UW, II.X.P7S_UW.2, II.S.P7S_UW.1, II.S.P7S_UW.2.o, II.S.P7S_UW.3.o, II.H.P7S_UW.1, I.P7S_UK, II.X.P7S_UW.3.o</w:t>
      </w:r>
    </w:p>
    <w:p>
      <w:pPr>
        <w:keepNext w:val="1"/>
        <w:spacing w:after="10"/>
      </w:pPr>
      <w:r>
        <w:rPr>
          <w:b/>
          <w:bCs/>
        </w:rPr>
        <w:t xml:space="preserve">Charakterystyka U_02: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I.P7S_UW, I.P7S_UK, II.X.P7S_UW.3.o, II.S.P7S_UW.1, II.S.P7S_UW.2.o, II.S.P7S_UW.3.o, II.H.P7S_UW.1, II.H.P7S_UW.2.o, II.X.P7S_UW.2</w:t>
      </w:r>
    </w:p>
    <w:p>
      <w:pPr>
        <w:keepNext w:val="1"/>
        <w:spacing w:after="10"/>
      </w:pPr>
      <w:r>
        <w:rPr>
          <w:b/>
          <w:bCs/>
        </w:rPr>
        <w:t xml:space="preserve">Charakterystyka U_03: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keepNext w:val="1"/>
        <w:spacing w:after="10"/>
      </w:pPr>
      <w:r>
        <w:rPr>
          <w:b/>
          <w:bCs/>
        </w:rPr>
        <w:t xml:space="preserve">Charakterystyka U_04: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II.S.P7S_UW.1, II.S.P7S_UW.2.o, II.S.P7S_UW.3.o, II.H.P7S_UW.1, II.H.P7S_UW.2.o, I.P7S_UW, II.X.P7S_UW.2, I.P7S_UK,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Podsumowanie:</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2024-05-05T09:39:15+02:00</dcterms:created>
  <dcterms:modified xsi:type="dcterms:W3CDTF">2024-05-05T09:39:15+02:00</dcterms:modified>
</cp:coreProperties>
</file>

<file path=docProps/custom.xml><?xml version="1.0" encoding="utf-8"?>
<Properties xmlns="http://schemas.openxmlformats.org/officeDocument/2006/custom-properties" xmlns:vt="http://schemas.openxmlformats.org/officeDocument/2006/docPropsVTypes"/>
</file>