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A11_JO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praca n zajęciach + 40 godzin praca własna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2,4 p.ECTS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Zał. Karty przedmiotu dla wszystkich 30 godzinnych jednostek lekcyjnych
na www.sjo.pw.edu.pl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aaa: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aaa: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
Potrafi tworzyć różne rodzajów tekstów – teksty na użytek prywatny, zawodowy (np. list motywacyjny, życiorys, sprawozdanie, notatka, wypracowanie) oraz stosować formy stylistyczne i gramatyczne, wymagane w tekstach na poziomie B2 – prywatnych i zawodowych
Potrafi przeczytać i zrozumieć teksty ogólne i specjalistyczne dotyczące swojej dziedziny, pozyskać z nich informacje, a także dokonać ich interpretacji.
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aaa: </w:t>
      </w:r>
    </w:p>
    <w:p>
      <w:pPr/>
      <w:r>
        <w:rPr/>
        <w:t xml:space="preserve">Potrafi pracować samodzielnie i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w grupie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2025-07-07T01:51:57+02:00</dcterms:created>
  <dcterms:modified xsi:type="dcterms:W3CDTF">2025-07-07T01:51:57+02:00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