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Pracowni Rentgenowskich i Izotopowych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oddziaływaniu promieniowania jonizującego z materią; aparaturze diagnostycznej wykorzystującej promieniowanie jonizujące; wielkościach i jednostkach dozymetrycznych oraz ochronie radiologicznej.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pracowni rentgenowskich i izotopowych oraz do pracy w podmiotach instalujących i serwisujących aparaturę diagnostyczną wykorzystującą promieniowanie jonizujące.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Podstawy prawne i aspekty praktyczne projektowania: pracowni rentgenowskiej i izotopowej oraz medycznej pracowni rentgenowskiej. Podstawy teoretyczne obliczania osłon przed promieniowaniem jonizującym. 
Zasady ochrony radiologicznej.
Zakres zajęć projektowych obejmuje: 
Praktyczne obliczanie osłon przed promieniowaniem jonizującym. Opracowanie dokumentacji projektowej pracowni rentgenowskiej i izotopowej.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dn. 29 listopada 2000 r. - Prawo atomowe (Dz. U. z 2019 r. poz. 1792 oraz z 2020 r. poz. 284, 322) wraz z obowiązującymi aktami wykonawczymi.
Norma PN-86/J-80001 – Materiały i sprzęt ochronny przed promieniowaniem X i Gamma, obliczanie osłon stałych.
Norma DIN-6847 teil 2: Medizinische elektronenbeschleuniger – anlangen strahlenschutzreglen fur die errichtung.
Gostkowska Bożena: Ochrona radiologiczna. Wielkości, jednostki i obliczenia. Centralne Laboratorium Ochrony Radiologicznej,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PPRI_W01: </w:t>
      </w:r>
    </w:p>
    <w:p>
      <w:pPr/>
      <w:r>
        <w:rPr/>
        <w:t xml:space="preserve">Zna cele i podstawowe zasady projektowania pracowni radiologicznej i izotopowej; instalacji, użytkowania i serwisowania urządzeń diagnostycznych wykorzystujących promieniowanie jonizujące; ochrony radiologicznej w szczególności ochrony radiologicznej pacjenta i personelu 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PPRI_U01: </w:t>
      </w:r>
    </w:p>
    <w:p>
      <w:pPr/>
      <w:r>
        <w:rPr/>
        <w:t xml:space="preserve">Potrafi pracując w zespole przygotować założenia projektowe, zweryfikować je i na ich podstawie opracować dokumentację projektową pracowni radiologicznej i izotopowej.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 potrzeby krytycznej oceny swojej wiedzy i możliwości jej wykorzystania w rozwiązywaniu problemów projektowych; potrzeby myślenia i działania w sposób przedsiębiorczy; odpowiedzialności związanej z pracą w zespole oraz ma świadomość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2026-07-09T00:42:07+02:00</dcterms:created>
  <dcterms:modified xsi:type="dcterms:W3CDTF">2026-07-09T00:42:07+02:00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