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Chełmiński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1120-MAMNT-NSP-0232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a) obecność na ćwiczeniach – 30 h
2. praca własna studenta – 20 h; w tym
a) przygotowanie referatów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samodzielnej pracy z tekstem naukowym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Nadzór nad prawidłowym przebiegiem realizacji wystąpień seminaryjnych przez studentów, połączony z ćwiczeniem umiejętności przygotowywania prezentacji i referowania wyników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tekstem naukowym.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SEM_W01: </w:t>
      </w:r>
    </w:p>
    <w:p>
      <w:pPr/>
      <w:r>
        <w:rPr/>
        <w:t xml:space="preserve">Ma podstawową wiedzę dotyczącą uwarunkowań związanych z działalnością badawczą w zakresie równań różniczkowych cząstkowych i ich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SEM_U01: </w:t>
      </w:r>
    </w:p>
    <w:p>
      <w:pPr/>
      <w:r>
        <w:rPr/>
        <w:t xml:space="preserve">Potrafi przedstawić tekst naukowy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SEM_K01: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2025-05-09T19:15:42+02:00</dcterms:created>
  <dcterms:modified xsi:type="dcterms:W3CDTF">2025-05-09T19:15:42+02:00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