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85 h; w tym
a) przygotowanie do ćwiczeń – 30 h
b) zapoznanie się z literaturą – 15 h
c) przygotowanie do egzaminu – 40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laboratoriach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Analiza zespolona 1, Równania różniczkowe  zwyczajne.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teorii układów dynamicznych i przygotowanie ich do samodzielnej pracy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lokalnej dynamiki: 
- Twierdzenie Grobmana-Hartmana o linearyzacji. 
- Twierdzenie Hadamarda – Perrona o istnieniu lokalnych rozmaitości niezmienniczych stabilnych i niestabilnych. 
2. Nietrywialne zbiory hiperboliczne. 
3. Dynamika symboliczna. 
4. Strukturalna stabilność 
5. Bifurkacja siodło-węzeł, bifurkacja podwajania okresu.
6. Nieskończony ciąg bifurkacji Feingenbauma. 
7. Zbiór Mandelbrota.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(w standardowej skali 2–5) zostanie wystawiona na podstawie obecności oraz aktywności studentów podczas zajęć, a także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Szlenk, Wstęp do teorii gładkich układów dynamicznych, PWN 1982.
2. R. C. Robinson, Dynamical systems : stability, symbolic dynamics, and chaos,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UD_W01: </w:t>
      </w:r>
    </w:p>
    <w:p>
      <w:pPr/>
      <w:r>
        <w:rPr/>
        <w:t xml:space="preserve">Zna klasyfikację punktów okresowych, lokalną dynamikę w ich otoczeniu oraz przykłady nie- trywialnych zbiorów hiperbolicznych. Zna warunki konieczne i dostateczne do strukturalnej stabilności niskowymiarowych układów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UD_W02: </w:t>
      </w:r>
    </w:p>
    <w:p>
      <w:pPr/>
      <w:r>
        <w:rPr/>
        <w:t xml:space="preserve">Zna podstawowe bifurkacje: siodło węzeł i podwajania okresu oraz klasy układów dyskretnych w których zachodzą wymienione bifurkacje.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UD_W03: </w:t>
      </w:r>
    </w:p>
    <w:p>
      <w:pPr/>
      <w:r>
        <w:rPr/>
        <w:t xml:space="preserve">Zna rodzinę logistyczną w której zachodzi nieskończony ciąg bifurkacji podwajania okresu zwany bifurkacją Feingenbauma. Zna definicję i własności zbioru Mandelbrota.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UD_U01: </w:t>
      </w:r>
    </w:p>
    <w:p>
      <w:pPr/>
      <w:r>
        <w:rPr/>
        <w:t xml:space="preserve">Potrafi metodami analitycznymi lub przy wsparciu komputera zidentyfikować bifurkacje i przeanalizować zmiany portretów fazowych w efekcie zaburzeń lokalnych i globalnych.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UD_U02: </w:t>
      </w:r>
    </w:p>
    <w:p>
      <w:pPr/>
      <w:r>
        <w:rPr/>
        <w:t xml:space="preserve">Umie kodować  dynamikę  w terminach  dynamiki  symbolicznej.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UD_K01: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M2MNT_K01, 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2026-04-12T11:07:20+02:00</dcterms:created>
  <dcterms:modified xsi:type="dcterms:W3CDTF">2026-04-12T11:07:20+02:00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