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środowiska wirtualnego</w:t>
      </w:r>
    </w:p>
    <w:p>
      <w:pPr>
        <w:keepNext w:val="1"/>
        <w:spacing w:after="10"/>
      </w:pPr>
      <w:r>
        <w:rPr>
          <w:b/>
          <w:bCs/>
        </w:rPr>
        <w:t xml:space="preserve">Koordynator przedmiotu: </w:t>
      </w:r>
    </w:p>
    <w:p>
      <w:pPr>
        <w:spacing w:before="20" w:after="190"/>
      </w:pPr>
      <w:r>
        <w:rPr/>
        <w:t xml:space="preserve"> Mgr inż. Piotr Pełka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1120-INCAD-MSP-0112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ćwiczeń, rozwiązanie prac domowych – 20 h
3. przygotowanie do zajęć laboratoryjnych – 45 h
4. zapoznanie się z literaturą – 10 h
5. konsultacje – 5 h
6. przygotowanie do egzaminu i obecność na egzaminie – 20 h
Razem nakład pracy studenta 190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ćwiczeń, rozwiązanie prac domowych – 20 h
4. przygotowanie do zajęć laboratoryjnych – 45 h
Razem: 125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znajomość podstawowych algorytmów i metod modelowania geometrycznego i grafiki komputerowej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lub wybór istniejącego silnika gry oraz stworzenie gry opartej o ten silnik. Projekt składa się z podstawowych komponentów:
- logiki gry (zarządzanie zdarzeniami i obiektami, AI przeciwników, sieć,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prezentacji/referatu oraz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V.L. Arnold, Metody matematyczne mechaniki klasycznej, PWN, Warszawa 1981.
2. M. DeLoura, D. Treglia, Perełki programowania gier, Tom 1, 2 i 3, Helion, 2002.
3. J.G. de Jalon, E. Bayo, Kinematic and dynamic simulation of multibody systems, Springer-Verlag New York 1994.
4. E.J. Haug, R. C. Deyo, Real-time integration methods for mechanical system simu-lation, Springer-Verlag Berlin Heidelberg 1991.
5. J. Manerowski, Identyfikacja modelu dynamiki ruchu sterowanych obiektów lata-jących, WN ASKON, Warszawa 1999.
6. G.D. Padfield, Dynamika lotu śmigłowców, WKiŁ, Warszawa 1998.
7. A.A. Shabana, Dynamics of Multibody Systems, Cambridge University Press.
8. K. Stefański, Wstęp do mechaniki klasycznej, PWN, Warszawa 1999.
9. Y. Takahashi, M.J. Robins, D.M. Auslander,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narzędzia i technologie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Posiada umiejętność gromadzenia, selekcji i krytycznej interpretacji informacji technicznej, zdolność formułowania poglądów, idei, hipotez,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I2_U01, I2_U06, I2_U09, I2CC_U01, I2CC_U09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I2_U05, I2CC_U01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I2_U03, I2CC_U02, I2CC_U03, I2CC_U04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I2CC_U05</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myślenia i działania w sposób kreatywny i przedsiębiorczy</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2024-04-25T13:47:24+02:00</dcterms:created>
  <dcterms:modified xsi:type="dcterms:W3CDTF">2024-04-25T13:47:24+02:00</dcterms:modified>
</cp:coreProperties>
</file>

<file path=docProps/custom.xml><?xml version="1.0" encoding="utf-8"?>
<Properties xmlns="http://schemas.openxmlformats.org/officeDocument/2006/custom-properties" xmlns:vt="http://schemas.openxmlformats.org/officeDocument/2006/docPropsVTypes"/>
</file>