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dr inż. Wieńczysław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PAU1z</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(58h):
a) Wykład: 37h;
b) Ćwiczenia: 13h;
c) Konsultacje: 5h;
d) Egzamin: 3h;
2) Liczba godzin pracy własnej studenta (67h): 
a) Przygotowanie do ćwiczeń i do sprawdzianów na ćwiczeniach 30h;
b) Wykonanie prac domowych: 10h;
c) Przygotowanie do egzaminu: 27h;
Razem: 125h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(58h):
a) Wykład: 37h;
b) Ćwiczenia: 13h;
c) Konsultacje: 5h;
d) Egzamin: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555h</w:t>
            </w:r>
          </w:p>
        </w:tc>
      </w:tr>
      <w:tr>
        <w:trPr>
          <w:trHeight w:val="250" w:hRule="atLeast"/>
        </w:trPr>
        <w:tc>
          <w:tcPr>
            <w:tcW w:w="2200" w:type="dxa"/>
          </w:tcPr>
          <w:p>
            <w:pPr/>
            <w:r>
              <w:rPr/>
              <w:t xml:space="preserve">Ćwiczenia: </w:t>
            </w:r>
          </w:p>
        </w:tc>
        <w:tc>
          <w:tcPr>
            <w:tcW w:w="2200" w:type="dxa"/>
          </w:tcPr>
          <w:p>
            <w:pPr/>
            <w:r>
              <w:rPr/>
              <w:t xml:space="preserve">195h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dwóch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PAU1z_nst_W01: </w:t>
      </w:r>
    </w:p>
    <w:p>
      <w:pPr/>
      <w:r>
        <w:rPr/>
        <w:t xml:space="preserve">Posiada uporządkowaną i podbudowaną wiedzę w zakresie automatyki</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PAU1z_nst_U01: </w:t>
      </w:r>
    </w:p>
    <w:p>
      <w:pPr/>
      <w:r>
        <w:rPr/>
        <w:t xml:space="preserve">Potrafi zastosować narzędzia matematyczne do opisu i analizy zagadnień mechanicznych; elektrycznych i elektronicznych oraz w obszarze automatyki</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PAU1z_nst_U02: </w:t>
      </w:r>
    </w:p>
    <w:p>
      <w:pPr/>
      <w:r>
        <w:rPr/>
        <w:t xml:space="preserve">Potrafi dokonac analizy i opisu systemów liniowych</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PAU1z_nst_U03: </w:t>
      </w:r>
    </w:p>
    <w:p>
      <w:pPr/>
      <w:r>
        <w:rPr/>
        <w:t xml:space="preserve">Potrafi zaprojektować układy regulacji o typowej strukturze.</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I.P6S_UW.o, III.P6S_UW.o</w:t>
      </w:r>
    </w:p>
    <w:p>
      <w:pPr>
        <w:pStyle w:val="Heading3"/>
      </w:pPr>
      <w:bookmarkStart w:id="4" w:name="_Toc4"/>
      <w:r>
        <w:t>Profil ogólnoakademicki - kompetencje społeczne</w:t>
      </w:r>
      <w:bookmarkEnd w:id="4"/>
    </w:p>
    <w:p>
      <w:pPr>
        <w:keepNext w:val="1"/>
        <w:spacing w:after="10"/>
      </w:pPr>
      <w:r>
        <w:rPr>
          <w:b/>
          <w:bCs/>
        </w:rPr>
        <w:t xml:space="preserve">Charakterystyka PAU1z_nst_K01: </w:t>
      </w:r>
    </w:p>
    <w:p>
      <w:pPr/>
      <w:r>
        <w:rPr/>
        <w:t xml:space="preserve">Zna i rozumie pozatechniczne aspekty działalności inżynierskiej w obszarze mechatroniki, w tym jej wpływ na środowisko naturalne i rynek pracy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2026-10-03T10:08:04+02:00</dcterms:created>
  <dcterms:modified xsi:type="dcterms:W3CDTF">2026-10-03T10:08:04+02:00</dcterms:modified>
</cp:coreProperties>
</file>

<file path=docProps/custom.xml><?xml version="1.0" encoding="utf-8"?>
<Properties xmlns="http://schemas.openxmlformats.org/officeDocument/2006/custom-properties" xmlns:vt="http://schemas.openxmlformats.org/officeDocument/2006/docPropsVTypes"/>
</file>