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Ewa Szeliga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1080-BUKBD-MZP-0309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laboratoryjne: 24 godz.,
konsultacje: 6 godz.,
zapoznanie się z literaturą: 12 godz.,
prace domowe: 18 godz.
Razem 60 godz.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laboratoryjne: 24 godz.,
konsultacje: 6 godz.,
Razem 30 godz. =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samodzielna na ćwiczeniach: 12 godz.,
prace domowe: 18 godz.
Razem 30 godz.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projektowania konstrukcji oraz rachunku prawdopodobieństwa i statystyki matematycznej.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grupy laboratoryjne 15-osobowe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Podstawowa wiedza z zakresu niezawodności konstrukcji (aparat pojęciowy, metody analizy elementów i układów konstrukcyjnych pod względem ryzyka awarii) oraz umiejętność jej wykorzystania w praktycznych zagadnieniach inżynierskich (w szczególności w opracowywaniu i aktualizowaniu norm budowlanych).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 z rachunku prawdopodobieństwa i statystyki matematycznej. Podstawowy aparat pojęciowy z dziedziny niezawodności konstrukcji (stany graniczne, miary niezawodności). Podstawowe metody analizy konstrukcji z punktu widzenia ryzyka awarii. Zasady probabilistycznego modelowania efektów obciążeń i ich kombinacji. Zasady probabilistycznego modelowania nośności elementów konstrukcyjnych. Zasady analizy ryzyka awarii układów konstrukcyjnych. Zasady opracowywania i aktualizowania norm obciążeń i norm projektowania. Błędy ludzkie jako przyczyny katastrof budowlanych.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Ocena ciągła pracy na zajęciach. 2. Dwa sprawdziany pisemne. Warunki zaliczenia przedmiotu: udział w zajęciach (nie więcej niż 2 nieobecności) oraz zaliczenie każdego ze sprawdzianów.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dydaktyczne (definicje, wzory, algorytmy, przykłady zadań z rozwiązaniami) dostępne w postaci prezentacji Power Point na serwerze wydziałowym. Literatura uzupełniająca: Nowak, A.S., Collins, K.R., “Reliability of Structure”s, McGraw-Hill, New York, 2000; Cruse, T. A., “Reliability-based mechanical design”, Marcel Dekker, Inc., New York, 1997; Thoft-Christensen, P., Baker, M.J., “Structural Reliability Theory and Its Applications”, Springer-Verlag, New York, 1982; Biegus, A., “Probabilistyczna analiza konstrukcji stalowych”, PWN, Warszawa-Wrocław, 1999; Murzewski, J., “Niezawodność konstrukcji inżynierskich”, Arkady, Warszawa, 1989; Benjamin, J.R., Cornell, C.A., „Rachunek prawdopodobieństwa, statystyka matematyczna, teoria decyzji dla inżynierów”, WNT, Warszawa, 1977; Fisz, M., „Rachunek prawdopodobieństwa i statystyka matematyczna”, PWN, Warszawa, 1969; Zieliński, M. „Metody Monte Carlo”, WNT, Warszawa, 1970; PN-ISO 2394, „Ogólne zasady niezawodności konstrukcji”, PKN, Warszawa, 2000; PN-EN 1990, „Eurokod – Podstawy projektowania konstrukcji”, PKN, Warszawa,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serwer WIL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podstawowy aparat pojęciowy z zakresu teorii niezawodności konstrukcji budowlanych - miar ich ryzyka awarii i poziomu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Posiada wiedzę z rachunku prawdopodobieństwa i statystyki matematycznej niezbędną w teorii niezawodności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Zna podstawowe metody analizy konstrukcji z punktu widzenia jej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keepNext w:val="1"/>
        <w:spacing w:after="10"/>
      </w:pPr>
      <w:r>
        <w:rPr>
          <w:b/>
          <w:bCs/>
        </w:rPr>
        <w:t xml:space="preserve">Efekt W4: </w:t>
      </w:r>
    </w:p>
    <w:p>
      <w:pPr/>
      <w:r>
        <w:rPr/>
        <w:t xml:space="preserve">Zna zasady probabilistycznego modelowania efektów działających na konstrukcję obciążeń i ich kombinacji.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keepNext w:val="1"/>
        <w:spacing w:after="10"/>
      </w:pPr>
      <w:r>
        <w:rPr>
          <w:b/>
          <w:bCs/>
        </w:rPr>
        <w:t xml:space="preserve">Efekt W5: </w:t>
      </w:r>
    </w:p>
    <w:p>
      <w:pPr/>
      <w:r>
        <w:rPr/>
        <w:t xml:space="preserve">Zna zasady probabilistycznego modelowania nośności elementów konstrukcyjnych i układów konstrukcyjnych.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keepNext w:val="1"/>
        <w:spacing w:after="10"/>
      </w:pPr>
      <w:r>
        <w:rPr>
          <w:b/>
          <w:bCs/>
        </w:rPr>
        <w:t xml:space="preserve">Efekt W6: </w:t>
      </w:r>
    </w:p>
    <w:p>
      <w:pPr/>
      <w:r>
        <w:rPr/>
        <w:t xml:space="preserve">Zna zasady opracowywania i aktualizowania norm budowlanych, jako podstawowych narzędzi zapewnienia konstrukcji odpowiedniego poziomu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opracować statystycznie wyniki badań i obserwacji związanych z problemem bezpieczeństwa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T2A_U11, T2A_U15, T2A_U16, T2A_U04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Potrafi, wykorzystując metody analityczne lub symulacyjne, przeprowadzić wstępną analizę elementu konstrukcyjnego lub układu konstrukcyjnego pod względem jego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K2_U05, K2_U19_KBI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T2A_U11, T2A_U15, T2A_U16, T2A_U04, T2A_U08, T2A_U09, T2A_U10, T2A_U18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Potrafi, stosując normy budowlane, zapewnić konstrukcji odpowiedni poziom bezpieczeństwa.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K2_U11_KBI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Jest świadomy doniosłości kwalifikacji zawodowych i etyki zawodowej inżyniera dla bezpieczeństwa konstrukcji.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Praktyka zawodowa absolwenta.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</w:t>
      </w:r>
    </w:p>
    <w:p>
      <w:pPr>
        <w:keepNext w:val="1"/>
        <w:spacing w:after="10"/>
      </w:pPr>
      <w:r>
        <w:rPr>
          <w:b/>
          <w:bCs/>
        </w:rPr>
        <w:t xml:space="preserve">Efekt K2: </w:t>
      </w:r>
    </w:p>
    <w:p>
      <w:pPr/>
      <w:r>
        <w:rPr/>
        <w:t xml:space="preserve">Jest świadomy możliwości wykorzystania nabytej praktyki i doświadczenia inżynierskiego do aktualizacji norm budowlanych.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Praktyka zawodowa absolwenta.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K2_K02,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T2A_K06, T2A_K05, T2A_K07</w:t>
      </w:r>
    </w:p>
    <w:p>
      <w:pPr>
        <w:keepNext w:val="1"/>
        <w:spacing w:after="10"/>
      </w:pPr>
      <w:r>
        <w:rPr>
          <w:b/>
          <w:bCs/>
        </w:rPr>
        <w:t xml:space="preserve">Efekt K3: </w:t>
      </w:r>
    </w:p>
    <w:p>
      <w:pPr/>
      <w:r>
        <w:rPr/>
        <w:t xml:space="preserve">Jest przygotowany do samodzielnego uzupełniania wiedzy z zakresu normalizacji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Praktyka zawodowa absolwenta.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2025-05-09T17:47:27+02:00</dcterms:created>
  <dcterms:modified xsi:type="dcterms:W3CDTF">2025-05-09T17:47:27+02:00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