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Materiały w budownictwie komunikacyjnym (IK, DS)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Piotr Radziszewski, prof. dr hab. inż.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1080-BUIKM-MZP-0308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54 godz=2 ECTS: Wykład 12; laboratorium 12, przygotowanie do zajęć laboratoryjnych 5; zapoznanie z literaturą 5; przygotowanie do egzaminu, obecność na egzaminie 20.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12, ćwiczenia laboratoryjne 12, RAZEM 24 godz=1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Obecność w laboratorium 12; przygotowanie do laboratorium 5; napisanie sprawozdania, weryfikacja 10 RAZEM 27 godz=1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12h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12h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Wiadomości z zakresu technologii materiałów budowlanych. Znajomość podstaw technologii budownictwa komunikacyjnego.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Poszerzenie zakresu wiedzy na temat: kruszyw, materiałów wiążących oraz kompozytów stosowanych w budownictwie drogowym, kolejowym i lotniskowym. Umiejętność doboru składu mieszanek związanych i niezwiązanych stosowanych do wzmacniania podłoża oraz podbudów drogowych, kolejowych i lotniskowych.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Kruszywa i materiały wiążące stosowane w budownictwie komunikacyjnym: rodzaje, technologia produkcji właściwości. Podłoża gruntowe pod nawierzchnie drogowe, kolejowe i lotniskowe. Podbudowy nawierzchni komunikacyjnych z mieszanek związanych i niezwiązanych. Dobór składu, właściwości, technologia wykonania warstwy. Ćwiczenia laboratoryjne z zakresu badania materiałów, doboru składów, oceny właściwości mieszanek związanych i niezwiązanych.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Test i ustna obrona projektu.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Kalabińska M., Piłat J., Radziszewski P.,  Technologia materiałów i nawierzchni drogowych. Wyd. OW PW, Warszawa 2003;
[2] Piłat J., Radziszewski P., Nawierzchnie asfaltowe. WKiŁ, Warszawa 2007;
[3] Gaweł, M. Kalabińska, J. Piłat,  Asfalty drogowe. WKiŁ, Warszawa 2001;
[4] Szajer R.,  Drogi żelazne. PWN, Warszawa 1970.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http://www.ztmind.il.pw.edu.pl/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Ma wiedzę z zakresu kruszyw, materiałów wiążących oraz kompozytów stosowanych w budownictwie komunikacyjnym.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i ustna obrona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K2_W17_DS, K2_W21_DS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T2A_W05, T2A_W07, T2A_W04, T2A_W05, T2A_W08</w:t>
      </w:r>
    </w:p>
    <w:p>
      <w:pPr>
        <w:keepNext w:val="1"/>
        <w:spacing w:after="10"/>
      </w:pPr>
      <w:r>
        <w:rPr>
          <w:b/>
          <w:bCs/>
        </w:rPr>
        <w:t xml:space="preserve">Efekt W2: </w:t>
      </w:r>
    </w:p>
    <w:p>
      <w:pPr/>
      <w:r>
        <w:rPr/>
        <w:t xml:space="preserve">Ma wiedzę z zakresu projektowania i wykonywania ulepszonych podłoży i podbudów konstrukcji nawierzchni budowli komunikacyjnych.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i ustna obrona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K2_W17_DS, K2_W21_DS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T2A_W05, T2A_W07, T2A_W04, T2A_W05, T2A_W08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Potrafi zaprojektować skład mieszanek związanych i niezwiązanych do warstw podłoża ulepszonego i warstw podbudowy.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sprawozdania z badań laboratoryjnych i wykonanego projektu mieszanki.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K2_U05, K2_U13_DS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T2A_U02, T2A_U03, T2A_U11, T2A_U15, T2A_U16, T2A_U04, T2A_U07, T2A_U08, T2A_U09, T2A_U11</w:t>
      </w:r>
    </w:p>
    <w:p>
      <w:pPr>
        <w:keepNext w:val="1"/>
        <w:spacing w:after="10"/>
      </w:pPr>
      <w:r>
        <w:rPr>
          <w:b/>
          <w:bCs/>
        </w:rPr>
        <w:t xml:space="preserve">Efekt U2: </w:t>
      </w:r>
    </w:p>
    <w:p>
      <w:pPr/>
      <w:r>
        <w:rPr/>
        <w:t xml:space="preserve">Potrafi wdrożyć opracowaną technologię budowy dolnych warstw konstrukcyjnych nawierzchni budowli komunikacyjnych.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 technologii budowy warstw podbudowy.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K2_U15_DS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T2A_U09, T2A_U10, T2A_U11, T2A_U16, T2A_U19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K1: </w:t>
      </w:r>
    </w:p>
    <w:p>
      <w:pPr/>
      <w:r>
        <w:rPr/>
        <w:t xml:space="preserve">Potrafi pracować indywidualnie i w zespole.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2026-08-20T10:13:36+02:00</dcterms:created>
  <dcterms:modified xsi:type="dcterms:W3CDTF">2026-08-20T10:13:36+02:00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