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w budownictwie komunikacyjnym (DS, IK)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Piotr Radziszewski, prof. dr hab. inż.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1080-BUIKM-MSP-0308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wykład 15 godz., laboratorium 15 godz.; przygotowanie do zajęć laboratoryjnych 15 godz.; zapoznanie z literaturą 10 godz.; przygotowanie do zaliczenia, udział w konsultacjach, obecność na zaliczeniu 20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35 godz. =1,5 ECTS: wykład 15 godz., ćwiczenia laboratoryjne 15 godz., konsultacje i obrona projektu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47 godz. = 2 ECTS: obecność w laboratorium 15 godz.; przygotowanie do laboratorium napisanie sprawozdania, weryfikacja 15 godz.; przygotowanie do zaliczenia, udział w konsultacjach 17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Wiadomości z zakresu technologii materiałów budowlanych. Znajomość podstaw technologii budownictwa komunikacyjnego.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Poszerzenie zakresu wiedzy na temat: kruszyw, materiałów wiążących oraz kompozytów stosowanych w budownictwie drogowym, kolejowym i lotniskowym. Umiejętność doboru składu mieszanek związanych i niezwiązanych stosowanych do wzmacniania podłoża oraz podbudów drogowych, kolejowych i lotniskowych.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Kruszywa i materiały wiążące stosowane w budownictwie komunikacyjnym: rodzaje, technologia produkcji właściwości. Podłoża gruntowe pod nawierzchnie drogowe, kolejowe i lotniskowe. Podbudowy nawierzchni komunikacyjnych z mieszanek związanych i niezwiązanych. Dobór składu, właściwości, technologia wykonania warstwy.
Ćwiczenia laboratoryjne z zakresu badania materiałów, doboru składów, oceny właściwości mieszanek związanych i niezwiązanych.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Test i ustna obrona projektu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Kalabińska M., Piłat J., Radziszewski P.,  Technologia materiałów i nawierzchni drogowych. Wyd. OW PW, Warszawa 2003.
[2] Piłat J., Radziszewski P., Nawierzchnie asfaltowe. WKiŁ, Warszawa 2007.
[3] Gaweł, M. Kalabińska, J. Piłat,  Asfalty drogowe. WKiŁ, Warszawa 2001.
[4]  Szajer R.,  Drogi żelazne. PWN, Warszawa 1970.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http://www.ztmind.il.pw.edu.pl/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Ma wiedzę z zakresu kruszyw, materiałów wiążących oraz kompozytów stosowanych w budownictwie komunikacyjnym.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i ustna obrona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K2_W17_DS, K2_W21_DS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T2A_W05, T2A_W07, T2A_W04, T2A_W05, T2A_W08</w:t>
      </w:r>
    </w:p>
    <w:p>
      <w:pPr>
        <w:keepNext w:val="1"/>
        <w:spacing w:after="10"/>
      </w:pPr>
      <w:r>
        <w:rPr>
          <w:b/>
          <w:bCs/>
        </w:rPr>
        <w:t xml:space="preserve">Efekt W2: </w:t>
      </w:r>
    </w:p>
    <w:p>
      <w:pPr/>
      <w:r>
        <w:rPr/>
        <w:t xml:space="preserve">Ma wiedzę z zakresu projektowania i wykonywania ulepszonych podłoży i podbudów konstrukcji nawierzchni budowli komunikacyjnych.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i ustna obrona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K2_W17_DS, K2_W21_DS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T2A_W05, T2A_W07, T2A_W04, T2A_W05, 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zaprojektować skład mieszanek związanych i niezwiązanych do warstw podłoza ulepszonego i warstw podbudowy.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sprawozdania z badań laboratoryjnych i wykonanego projektu mieszanki.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K2_U05, K2_U13_DS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T2A_U03, T2A_U11, T2A_U15, T2A_U16, T2A_U04, T2A_U07, T2A_U08, T2A_U09, T2A_U11</w:t>
      </w:r>
    </w:p>
    <w:p>
      <w:pPr>
        <w:keepNext w:val="1"/>
        <w:spacing w:after="10"/>
      </w:pPr>
      <w:r>
        <w:rPr>
          <w:b/>
          <w:bCs/>
        </w:rPr>
        <w:t xml:space="preserve">Efekt U2: </w:t>
      </w:r>
    </w:p>
    <w:p>
      <w:pPr/>
      <w:r>
        <w:rPr/>
        <w:t xml:space="preserve">Potrafi wdrożyć opracowaną technologię budowy dolnych warstw konstrukcyjnych nawierzchni budowli komunikacyjnych.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 technologii budowy warstw podbudowy.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K2_U12_DS, K2_U15_DS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T2A_U09, T2A_U10, T2A_U11, T2A_U12, T2A_U15, T2A_U18, T2A_U07, T2A_U09, T2A_U10, T2A_U11, T2A_U16,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Potrafi pracować indywidualnie i w zespole.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2026-09-12T01:58:48+02:00</dcterms:created>
  <dcterms:modified xsi:type="dcterms:W3CDTF">2026-09-12T01:58:48+02:00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