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w:t>
      </w:r>
    </w:p>
    <w:p>
      <w:pPr>
        <w:keepNext w:val="1"/>
        <w:spacing w:after="10"/>
      </w:pPr>
      <w:r>
        <w:rPr>
          <w:b/>
          <w:bCs/>
        </w:rPr>
        <w:t xml:space="preserve">Koordynator przedmiotu: </w:t>
      </w:r>
    </w:p>
    <w:p>
      <w:pPr>
        <w:spacing w:before="20" w:after="190"/>
      </w:pPr>
      <w:r>
        <w:rPr/>
        <w:t xml:space="preserve">prof. L.Runkiewicz, doc dr J.Idzikowski, dr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1080-BUKBD-MSP-0900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ćwiczenia seminaryjne 30 godz., studiowanie materiałów potrzebnych do wykonania prezentacji wybranego tematu seminarium dyplomowego 15 godz., praca indywidualna przy opracowaniu prezentacji tematu seminarium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studiowanie materiałów potrzebnych do wykonania prezentacji wybranego tematu seminarium dyplomowego 15 godz., praca indywidualna przy opracowaniu prezentacji tematu seminarium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Kształtowanie umiejętności samodzielnej analizy założeń do pracy dyplomowej. Analiza przykładów nowoczesnych rozwiązań przemysłowych obiektów budowlanych oraz zasad ich projektowania, wykonania i montażu. 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Kopuły – rozwiązania konstrukcyjne.
Hangary – kształtowanie, obliczanie i montaż.
Nowoczesne ściany osłonowe w budynkach szkieletowych.
Układy konstrukcyjne stalowych garaży wielopoziomowych.
Zasobniki i silosy do przechowywania materiałów sypkich.
Montaż zbiorników, budowli typu wieżowego i masztowego.
Przejścia rurociągów przez przeszkody wodne.
Specyfika obciążeń wież, masztów i oddziaływań kominów.
Konstrukcje wiszące kładek nad rzeką.
Podpory linii elektroenergetycznych i kolei linowych.
Montaż suwnic i wież wyciągowych.
Konstrukcje hal sportowych i wystawowych w budownictwie stalowym.
Zadaszenia trybun stadionów.
Rurociągi i gazociągi.
Ogólna charakterystyka stalowych konstrukcji kościołów. 
Stalowe hale łukowe.
Konstrukcje cięgnowe w budownictwie przemysłowym.
Proces wytwarzania konstrukcji stalowych w specjalistycznych wytwórniach.
Konstrukcje wież badawczych do poszukiwań ropy.
Awarie hal spowodowane obciążeniem od śniegu.
Awarie podpór linii elektroenergetycznych spowodowane wiatrem i śniegiem.
Awarie kominów i zbiorników stalowych.
Przykładowa tematyka seminariów dyplomowych z budownictwa:
Holistyczna interpretacja zasad zrównoważonego rozwoju.
Innowacyjne rozwiązania technologiczne i materiałowe w zrównoważonym budownictwie.
Przesłanki, cele i metody rewitalizacji budynków i konstrukcji budowlanych.
Certyfikacja i audyt energetyczny jako narzędzie optymalizacji inwestycji.
Awangardowe rozwiązania w zakresie budownictwa i konstrukcji budowlanych.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 Konstrukcje stalowe. Podstawy i elementy”, DWE, Wrocław 2006;
[7] Rykaluk K. - Konstrukcje stalowe;Kominy, wieże, maszty, Oficyna Wydawnicza Politechniki Wrocławskiej, 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magisterskim oraz zaprezentowanie wyników tej pracy przed Komisją Egzaminacyjną w trakcie egzaminu dyplomowego. Stąd też szczególny nacisk podczas zajęć jest położony na wykształcenie czterech podstawowych umiejętności, przydatnych nie tylko na etapie studiów, ale także w codziennym życiu zawodowym po ukończeniu nauki: 
1. Samodzielnego przygotowywania tematycznych prezentacji multimedialnych oraz przekazywanie  zdobytej wiedzy. 
2. Samodzielnego poszukiwania źrodeł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sposób istotny poza treści prezentowane w ciągu całego okresu studiów w ramach regularnych programów kursowych. Takie podejście wymusza na studencie konieczność zgłębienia materiałów bibliograficznych nieznanych z dotychczasowego toku studiów, zapoznania się z najnowszymi informacjami dostępnymi w internecie, czasopismach fachowych, prowokuje do wizyty w czytelni i skłania do poszukiwania źródeł informacji nie wskazanych przez prowadzącego zajęcia. 
Poniżej zamieszczono przykładowe tematy prac dyplomowych magisterskich z bloku przedmiotowego "Konstrukcje Metalowe":
1. Pawilon handlowy o konstrukcji stalowej z przekryciem przestrzennym, konstrukcją prętową.
2. Komin stalowy o wysokości 120m.
3. Kładka wisząca dla pieszych w parkowym kompleksie wypoczynkowym
4. Przejście wiszące rurociągu przez rzekę.
5. Komin stalowy bez odciągów o wysokości 60m.
6. Kompleks sportowy z dwoma basenami olimpijskimi.
7. Hala wystawowa z przekryciem w postaci struktury jednowarstwowej.
8. Budynek biurowy o konstrukcji ramowej z węzłami podatnymi.
9. Budynek przychodni lekarskiej o konstrukcji ramowej ze stropami zespolonymi.
10. Parking wielopoziomowy o konstrukcji zespolonej.
11. Budynek hotelowy z dużą salą koncertową i kompleksem konferencyjnym.
12. Wieża stalowa telewizyjna o wysokości 120m.
13. Projekt wieży widokowej o konstrukcji stalowej.
14. Projekt budynku wysokiego o konstrukcji stalowej o wys. powyżej 12 kondygnacji.
15. Hangar lotniczy dla samolotów BOENING 767.
16. Pawilon handlowy o przekryciu strukturalnym.
17. Przekrycie basenu olimpijskiego z widownią dla 2000 osób.
18. Budynek dla cyrku stałego z widownią dla 4000 osób.
19. Pawilon dla sprzedaży samochodów wraz serwisem naprawczym.
20. Zbiornik z dachem pływającym na produkty naftowe, o pojemności ~50000 m3.
21. Zbiornik kulisty na gaz, pojemność 4000 m3.
22. Wieża telewizyjna; przekaźnikowa o wysokości 80m w terenie górskim.
23. Przekrycie boiska piłkarskiego z trybunami dla około 20000 widzów.
24. Stalowe przekrycie wielofunkcyjnej hali widowiskowo-sportowej na ~15000 widzów.
25. Analiza wybranych rozwiązań konstrukcji fasady dla realizowanego budynku o konstrukcji szkieletowej.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K2_W13_KBI, K2_W17_KBI</w:t>
      </w:r>
    </w:p>
    <w:p>
      <w:pPr>
        <w:spacing w:before="20" w:after="190"/>
      </w:pPr>
      <w:r>
        <w:rPr>
          <w:b/>
          <w:bCs/>
        </w:rPr>
        <w:t xml:space="preserve">Powiązane efekty obszarowe: </w:t>
      </w:r>
      <w:r>
        <w:rPr/>
        <w:t xml:space="preserve">T2A_W04, T2A_W05, T2A_W07, T2A_W05</w:t>
      </w:r>
    </w:p>
    <w:p>
      <w:pPr>
        <w:keepNext w:val="1"/>
        <w:spacing w:after="10"/>
      </w:pPr>
      <w:r>
        <w:rPr>
          <w:b/>
          <w:bCs/>
        </w:rPr>
        <w:t xml:space="preserve">Efekt W2: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K2_W10, K2_W11_KBI, K2_W12_KBI, K2_W14_KBI, K2_W15_KBI, K2_W16_KBI, K2_W17_KBI, K2_W18_KBI</w:t>
      </w:r>
    </w:p>
    <w:p>
      <w:pPr>
        <w:spacing w:before="20" w:after="190"/>
      </w:pPr>
      <w:r>
        <w:rPr>
          <w:b/>
          <w:bCs/>
        </w:rPr>
        <w:t xml:space="preserve">Powiązane efekty obszarowe: </w:t>
      </w:r>
      <w:r>
        <w:rPr/>
        <w:t xml:space="preserve">T2A_W01, T2A_W03, T2A_W05, T2A_W07, T2A_W03, T2A_W07, T2A_W03, T2A_W05, T2A_W07, T2A_W04, T2A_W07, T2A_W03, T2A_W04, T2A_W05, T2A_W06, T2A_W07, T2A_W03, T2A_W06, T2A_W05, T2A_W01, T2A_W07</w:t>
      </w:r>
    </w:p>
    <w:p>
      <w:pPr>
        <w:keepNext w:val="1"/>
        <w:spacing w:after="10"/>
      </w:pPr>
      <w:r>
        <w:rPr>
          <w:b/>
          <w:bCs/>
        </w:rPr>
        <w:t xml:space="preserve">Efekt W3: </w:t>
      </w:r>
    </w:p>
    <w:p>
      <w:pPr/>
      <w:r>
        <w:rPr/>
        <w:t xml:space="preserve">Ma podstawową wiedzę na temat ochrony praw autorskich.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K2_W09</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treści zawartych w wybranym temacie seminarium dyplomowego.</w:t>
      </w:r>
    </w:p>
    <w:p>
      <w:pPr>
        <w:spacing w:before="20" w:after="190"/>
      </w:pPr>
      <w:r>
        <w:rPr>
          <w:b/>
          <w:bCs/>
        </w:rPr>
        <w:t xml:space="preserve">Powiązane efekty kierunkowe: </w:t>
      </w:r>
      <w:r>
        <w:rPr/>
        <w:t xml:space="preserve">K2_U04, K2_U11_KBI, K2_U12_KBI, K2_U13_KBI, K2_U14_KBI, K2_U15_KBI, K2_U17_KBI, K2_U18_KBI, K2_U19_KBI, K2_U21_KBI, K2_U22_KBI, K2_U23_KBI, K2_U24_KBI, K2_U25_KBI</w:t>
      </w:r>
    </w:p>
    <w:p>
      <w:pPr>
        <w:spacing w:before="20" w:after="190"/>
      </w:pPr>
      <w:r>
        <w:rPr>
          <w:b/>
          <w:bCs/>
        </w:rPr>
        <w:t xml:space="preserve">Powiązane efekty obszarowe: </w:t>
      </w:r>
      <w:r>
        <w:rPr/>
        <w:t xml:space="preserve">T2A_U07, T2A_U09, T2A_U12, T2A_U18, T2A_U19, T2A_U08, T2A_U10, T2A_U15, T2A_U07, T2A_U08, T2A_U15, T2A_U02, T2A_U07, T2A_U18, T2A_U10, T2A_U11, T2A_U12, T2A_U16, T2A_U07, T2A_U08, T2A_U09, T2A_U08, T2A_U09, T2A_U10, T2A_U18, T2A_U15, T2A_U17, T2A_U18, T2A_U19, T2A_U08, T2A_U09, T2A_U19, T2A_U10, T2A_U17, T2A_U19, T2A_U02, T2A_U07, T2A_U13, T2A_U19, T2A_U10, T2A_U12, T2A_U14, T2A_U16</w:t>
      </w:r>
    </w:p>
    <w:p>
      <w:pPr>
        <w:keepNext w:val="1"/>
        <w:spacing w:after="10"/>
      </w:pPr>
      <w:r>
        <w:rPr>
          <w:b/>
          <w:bCs/>
        </w:rPr>
        <w:t xml:space="preserve">Efekt U2: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 seminaryjnej.</w:t>
      </w:r>
    </w:p>
    <w:p>
      <w:pPr>
        <w:spacing w:before="20" w:after="190"/>
      </w:pPr>
      <w:r>
        <w:rPr>
          <w:b/>
          <w:bCs/>
        </w:rPr>
        <w:t xml:space="preserve">Powiązane efekty kierunkowe: </w:t>
      </w:r>
      <w:r>
        <w:rPr/>
        <w:t xml:space="preserve">K2_U12_KBI, K2_U13_KBI, K2_U14_KBI, K2_U19_KBI</w:t>
      </w:r>
    </w:p>
    <w:p>
      <w:pPr>
        <w:spacing w:before="20" w:after="190"/>
      </w:pPr>
      <w:r>
        <w:rPr>
          <w:b/>
          <w:bCs/>
        </w:rPr>
        <w:t xml:space="preserve">Powiązane efekty obszarowe: </w:t>
      </w:r>
      <w:r>
        <w:rPr/>
        <w:t xml:space="preserve">T2A_U15, T2A_U07, T2A_U08, T2A_U15, T2A_U08, T2A_U09, T2A_U10, T2A_U18</w:t>
      </w:r>
    </w:p>
    <w:p>
      <w:pPr>
        <w:keepNext w:val="1"/>
        <w:spacing w:after="10"/>
      </w:pPr>
      <w:r>
        <w:rPr>
          <w:b/>
          <w:bCs/>
        </w:rPr>
        <w:t xml:space="preserve">Efekt U3: </w:t>
      </w:r>
    </w:p>
    <w:p>
      <w:pPr/>
      <w:r>
        <w:rPr/>
        <w:t xml:space="preserve">Potrafi samodzielnie pozyskiwać informacje i zdobywać wiedzę, korzystając z dostępnych źródeł informacji w tym źródeł elektronicznych i obcojęzycznych.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K2_U05, K2_U06, K2_U08</w:t>
      </w:r>
    </w:p>
    <w:p>
      <w:pPr>
        <w:spacing w:before="20" w:after="190"/>
      </w:pPr>
      <w:r>
        <w:rPr>
          <w:b/>
          <w:bCs/>
        </w:rPr>
        <w:t xml:space="preserve">Powiązane efekty obszarowe: </w:t>
      </w:r>
      <w:r>
        <w:rPr/>
        <w:t xml:space="preserve">T2A_U02, T2A_U03, T2A_U11, T2A_U15, T2A_U16, T2A_U04, T2A_U01, T2A_U02,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p>
      <w:pPr>
        <w:keepNext w:val="1"/>
        <w:spacing w:after="10"/>
      </w:pPr>
      <w:r>
        <w:rPr>
          <w:b/>
          <w:bCs/>
        </w:rPr>
        <w:t xml:space="preserve">Efekt 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2024-05-04T08:07:11+02:00</dcterms:created>
  <dcterms:modified xsi:type="dcterms:W3CDTF">2024-05-04T08:07:11+02:00</dcterms:modified>
</cp:coreProperties>
</file>

<file path=docProps/custom.xml><?xml version="1.0" encoding="utf-8"?>
<Properties xmlns="http://schemas.openxmlformats.org/officeDocument/2006/custom-properties" xmlns:vt="http://schemas.openxmlformats.org/officeDocument/2006/docPropsVTypes"/>
</file>