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wykład 30 godz., 
zajęcia laboratoryjne 15 godz.,
konsultacje – 2 godz.
2) Praca własna studenta – 30 godz.
•	studia literaturowe, przygotowanie do sprawdzianów 15 godz., 
•	wykonanie laboratoriów 15 godz.,
RAZEM- 77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47, w tym:
wykład 30 godz., 
zajęcia laboratoryjne 15 godz.,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charakterystyki kierunkowe: </w:t>
      </w:r>
      <w:r>
        <w:rPr/>
        <w:t xml:space="preserve">K_U21, K_U06, K_U07, K_U09</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2026-10-02T13:40:50+02:00</dcterms:created>
  <dcterms:modified xsi:type="dcterms:W3CDTF">2026-10-02T13:40:50+02:00</dcterms:modified>
</cp:coreProperties>
</file>

<file path=docProps/custom.xml><?xml version="1.0" encoding="utf-8"?>
<Properties xmlns="http://schemas.openxmlformats.org/officeDocument/2006/custom-properties" xmlns:vt="http://schemas.openxmlformats.org/officeDocument/2006/docPropsVTypes"/>
</file>