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 I iw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 w tym:
•	Wykład – 15 godz.
•	Laboratorium – 15 godz.
•	Konsultacje – 2 godz.
2) Praca własna studenta - 30 godz., w tym:
•	Przygotowanie się do kolokwium zaliczeniowego, analiza literatury – 8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bezpośrednich: 32 godz. w tym:
•	Wykład – 15 godz.
•	Laboratorium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37 godz., w tym: 
•	Laboratorium – 15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Specjalne obróbki i mikroobróbki. Umiejętność doboru procesu i jego parametrów do wykonania mikroelementów z materiałów metalowych, ceramicznych i tworzyw sztucznych.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mechatronice.
    Specyfika   procesów kształtowania plastycznego mini i mikroelementów . Technologie chemiczne i elektrochemiczne. Techniki wykonywania mikrootworów. Obróbka  erozyjna mikroelementów i mikronarzędzi. Formowanie wtryskowe miniaturowych elementów z tworzyw sztucznych,  proszków metalowych i ceramicznych. Mikroobróbka laserowa ubytkowa, powierzchniowa, znakowanie laserowe.
          Technologia   kształtowania sprężyn, membran , mieszków ciśnieniowych i  rurek Bourdona. Oprzyrządowanie technologiczne do wykonywania precyzyjnych elementów sprężystych.
    Charakterystyka procesów szybkiego prototypowania wyrobów i narzędzi, stosowane sposoby i materiały.Stereolitografia, selektywne spiekanie laserowe, nakładanie warstw w stanie ciekłym, scalanie proszków     spoiwami, metoda laminowania. Zaawansowane techniki szybkiego prototypowania, holograficzne zestalanieprzestrzenne fotoczułych polimerów, zestalanie interferencyjne.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egzaminu pisemnego, zaliczenie ćwiczeń na podstawie ocen uzyskanych z poszczególnych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TUM I_W01: </w:t>
      </w:r>
    </w:p>
    <w:p>
      <w:pPr/>
      <w:r>
        <w:rPr/>
        <w:t xml:space="preserve">Ma wiedzę na temat metod wytwarzania drobnych elemenów i mikroelementów z materiałów metalowych, ceramicznych i tworzyw sztucznych, elementów sprężystych, szybkiego prototypowania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TUM I_U01: </w:t>
      </w:r>
    </w:p>
    <w:p>
      <w:pPr/>
      <w:r>
        <w:rPr/>
        <w:t xml:space="preserve">Potrafi dokonać wyboru właściwej metody wytwarzania mikroelementów dostosowanej do kształtu, dokładności, materiału i warunków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TUM I_U02: </w:t>
      </w:r>
    </w:p>
    <w:p>
      <w:pPr/>
      <w:r>
        <w:rPr/>
        <w:t xml:space="preserve">Umie przedstawić przebieg wykonywanych badań, istotę problemu badawczego będącego przedmiotem badań, uzyskane wyniki, sformułować wnioski z przeprowadzonych doświadczeń. Umie przedstawić wymagania bhp związane z przeprowadzonym doświadczeniem.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K_U27, 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III.P6S_UW.o, I.P6S_UW.o, I.P6S_UO,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2026-07-29T23:57:19+02:00</dcterms:created>
  <dcterms:modified xsi:type="dcterms:W3CDTF">2026-07-29T23:57:19+02:00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