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OWM5_W01: </w:t>
      </w:r>
    </w:p>
    <w:p>
      <w:pPr/>
      <w:r>
        <w:rPr/>
        <w:t xml:space="preserve">wiedza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OWM5_U01: </w:t>
      </w:r>
    </w:p>
    <w:p>
      <w:pPr/>
      <w:r>
        <w:rPr/>
        <w:t xml:space="preserve">Umie zdobywać wiedzę szczegłową z zakresu automatyki i robotyki oraz mechatroniki przekazywaną w trakcie wykładu obcojęzycznego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OWM5_U02: </w:t>
      </w:r>
    </w:p>
    <w:p>
      <w:pPr/>
      <w:r>
        <w:rPr/>
        <w:t xml:space="preserve">Potrafi przygotować krótką prezentację obcojęzyczną z obszaru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2026-09-30T14:50:33+02:00</dcterms:created>
  <dcterms:modified xsi:type="dcterms:W3CDTF">2026-09-30T14:50:33+02:00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