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 I</w:t>
      </w:r>
    </w:p>
    <w:p>
      <w:pPr>
        <w:keepNext w:val="1"/>
        <w:spacing w:after="10"/>
      </w:pPr>
      <w:r>
        <w:rPr>
          <w:b/>
          <w:bCs/>
        </w:rPr>
        <w:t xml:space="preserve">Koordynator przedmiotu: </w:t>
      </w:r>
    </w:p>
    <w:p>
      <w:pPr>
        <w:spacing w:before="20" w:after="190"/>
      </w:pPr>
      <w:r>
        <w:rPr/>
        <w:t xml:space="preserve">Jan Król, dr hab. inż.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1080-BUIKM-ISP-0605</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10 godz., ćwiczenia laboratoryjne 20 godz., przygotowanie do zajęć laboratoryjnych 10 godz., przygotowanie do zaliczenia przedmiotu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10 godz., ćwiczenia laboratoryjne 20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33 godz. = 1 ECTS: obecność w laboratorium 20 godz., przygotowanie do laboratorium 10 godz., napisanie sprawozdania i weryfikacja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Umiejętność oceny właściwości klasyfikacyjnych lepiszczy asfaltowych i kruszyw mineralnych stosowanych w budownictwie drogowym. Umiejętność doboru materiałowego przy projektowaniu mieszanki typu beton asfaltowy do nawierzchni drogowych. Podstawowa umiejętność doboru odpowiedniej technologii mieszanek mineralno-asfaltowych do warstw konstrukcyjnych nawierzchni drogowych spełniających obowiązujące wymagania techniczne.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1. Konstrukcja nawierzchni drogowej: nawierzchnia podatna, nawierzchnia półsztywna, nawierzchnia sztywna. 2. Asfalty, materiały mineralne. Badania i ocena podstawowych właściwości kruszyw. Badania i ocena podstawowych właściwości asfaltów. 3. Mieszanki mineralno-asfaltowe (MMA): rodzaje, skład, metody otrzymywania, zakres stosowania, cechy techniczne, zastosowanie, metody produkcji i kontroli jakości. 4. Projektowanie składu mieszanki mineralnej o ciągłym uziarnieniu. 5. Zasady ustalania składu MMA typu beton asfaltowy: szkielet mineralny, dobór ilości asfaltu dwoma metodami. 6. Indywidualne zaprojektowanie składu mieszanki mineralnej typu beton asfaltowy. 7. Wykonanie próbek do badań, badanie właściwości wybranej mieszanki mineralno-asfaltowej. 8. Metody badania i oceny właściwości MMA typu beton asfaltowy. Ocena odporności betonu asfaltowego na działanie wody oraz ocena właściwości fizycznych. 9. Produkcja i kontrola jakości mieszanek mineralno-asfaltowych (ZKP, PPZ) 10. Podstawy technologii nawierzchni z betonu cementowego: rodzaje nawierzchni, podstawy technologii wykonania.</w:t>
      </w:r>
    </w:p>
    <w:p>
      <w:pPr>
        <w:keepNext w:val="1"/>
        <w:spacing w:after="10"/>
      </w:pPr>
      <w:r>
        <w:rPr>
          <w:b/>
          <w:bCs/>
        </w:rPr>
        <w:t xml:space="preserve">Metody oceny: </w:t>
      </w:r>
    </w:p>
    <w:p>
      <w:pPr>
        <w:spacing w:before="20" w:after="190"/>
      </w:pPr>
      <w:r>
        <w:rPr/>
        <w:t xml:space="preserve">Egzamin pisemny. Sprawozdanie i test zaliczeniowy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Piłat J., Radziszewski P., Król J. Technologia materiałów i nawierzchni asfaltowych. Oficyna Wydawnicza Politechniki Warszawskiej, Warszawa 2015. 
2. Piłat J., Radziszewski P., Nawierzchnie asfaltowe. WKiŁ, Warszawa 2010. 
3. Read J. and Whiteoak D., The Shell Bitumen Handbook, Google boks or https://www.academia.edu/20953218/The_Shell_Bitumen_Handbook_Sixth_edition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REGULAMIN PRZEDMIOTU:
Zasady wymaganej obecności studenta na zajęciach: 
– Obowiązkowa obecność: laboratoria/ćwiczenia/projekt
– Jedna nieobecność nieusprawiedliwiona dopuszczalna, kolejne nieobecności wymagają usprawiedliwienia. Suma godzin nieusprawiedliwionych i usprawiedliwionych w semestrze nie może przekroczyć 1/3 zakresu godzinowego zajęć laboratoryjnych/ćwiczeniowych/projektowych przewidzianych w przedmiocie.
Metody etapowej i/lub końcowej weryfikacji osiągnięcia efektów uczenia się zostały uregulowane w karcie przedmiotu
Rodzaj materiałów i urządzeń dopuszczonych do używania przez studentów podczas weryfikacji osiągnięcia efektów uczenia się:	
– Możliwość korzystania z kalkulatora, długopisu. Nie dopuszcza się używania telefonu komórkowego. W przypadku prezentowania przygotowanych przez siebie slajdów w trakcie wygłaszania prezentacji  dopuszcza się używanie komputera oraz innych niezbędnych urządzeń multimedialnych.
Zasady zaliczania przedmiotu i wystawiania oceny końcowej z przedmiotu zostały uregulowane w karcie przedmiotu
Terminy i tryb ogłaszania ocen uzyskiwanych przez studentów oraz zasad ich poprawiania:
– Ogłoszenie wyników zaliczenia pisemnego w ciągu 7 dni od zaliczenia.
– Ogłoszenie ocen z prezentacji (jeśli dotyczy) bezpośrednio po zakończeniu prezentacji lub na koniec zajęć w danym dniu.
– Ogłoszenie ocen łącznych w terminie rejestracji określonym w systemie USOS PW
Możliwości i zasady udziału studentów w dodatkowych terminach sprawdzianów i egzaminów:
– Laboratoria/ćwiczenia/projekt: jeden termin poprawy zaliczenia pisemnego (sprawdzian pisemny/test pisemny) nie później niż do ostatniego dnia sesji następującej po semestrze, w którym odbywały się zajęcia w terminie wyznaczonym przez prowadzącego zajęcia.
– Wykład: dwa terminy poprawkowe (egzamin/zaliczenie) jednakże nie później niż do końca roku akademickiego w którym odbywały się zajęcia.
Zasady powtarzania z powodu niezadowalających wyników w nauce poszczególnych typów zajęć realizowanych w ramach przedmiotu:	
– W przypadku nieuzyskania oceny łącznej do końca roku akademickiego w którym odbywały się zajęcia, przedmiot należy powtórzyć w kolejnym roku akademickim. 
Inne zasady:
– Przestrzeganie zasad BHP podczas pracy na zajęciach, stosowanie się do poleceń prowadzącego.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właściwości asfaltów i materiałów mineralnych stosowanych w budownictwie drogowym.</w:t>
      </w:r>
    </w:p>
    <w:p>
      <w:pPr>
        <w:spacing w:before="60"/>
      </w:pPr>
      <w:r>
        <w:rPr/>
        <w:t xml:space="preserve">Weryfikacja: </w:t>
      </w:r>
    </w:p>
    <w:p>
      <w:pPr>
        <w:spacing w:before="20" w:after="190"/>
      </w:pPr>
      <w:r>
        <w:rPr/>
        <w:t xml:space="preserve">Egzamin pisemny, 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 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 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U2: </w:t>
      </w:r>
    </w:p>
    <w:p>
      <w:pPr/>
      <w:r>
        <w:rPr/>
        <w:t xml:space="preserve">Potrafi zaprojektować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 K1_U20</w:t>
      </w:r>
    </w:p>
    <w:p>
      <w:pPr>
        <w:spacing w:before="20" w:after="190"/>
      </w:pPr>
      <w:r>
        <w:rPr>
          <w:b/>
          <w:bCs/>
        </w:rPr>
        <w:t xml:space="preserve">Powiązane efekty obszarowe: </w:t>
      </w:r>
      <w:r>
        <w:rPr/>
        <w:t xml:space="preserve">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2024-05-04T17:19:46+02:00</dcterms:created>
  <dcterms:modified xsi:type="dcterms:W3CDTF">2024-05-04T17:19:46+02:00</dcterms:modified>
</cp:coreProperties>
</file>

<file path=docProps/custom.xml><?xml version="1.0" encoding="utf-8"?>
<Properties xmlns="http://schemas.openxmlformats.org/officeDocument/2006/custom-properties" xmlns:vt="http://schemas.openxmlformats.org/officeDocument/2006/docPropsVTypes"/>
</file>