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HES 1 - przedmiot w wersjach do wyboru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zależenie od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godz.= 2 ECTS: obecność na zajęciach 30 godz., praca własna studenta 20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godz.= 1 ECTS: obecność na zajęciach 30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Rozumienia technicznych i pozatechnicznych aspektów działalności człowieka.
Inspirowanie do samokształcenia.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właściwe dla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właściwe dla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właściwy dla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-: </w:t>
      </w:r>
    </w:p>
    <w:p>
      <w:pPr/>
      <w:r>
        <w:rPr/>
        <w:t xml:space="preserve">Właściwy dla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Właściwy dla przedmiotu.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-: </w:t>
      </w:r>
    </w:p>
    <w:p>
      <w:pPr/>
      <w:r>
        <w:rPr/>
        <w:t xml:space="preserve">Rozumienie technicznych i pozatechnicznych aspektów działalności człowieka. Inspirowanie do samokształcenia.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Właściwy dla przedmiotu.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2024-05-04T03:27:32+02:00</dcterms:created>
  <dcterms:modified xsi:type="dcterms:W3CDTF">2024-05-04T03:27:32+02:00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